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35137" w14:textId="1DFE50E2" w:rsidR="00FC1E57" w:rsidRPr="002A397A" w:rsidRDefault="002A397A" w:rsidP="002A397A">
      <w:pPr>
        <w:rPr>
          <w:b/>
          <w:bCs/>
          <w:sz w:val="28"/>
          <w:szCs w:val="32"/>
        </w:rPr>
      </w:pPr>
      <w:r>
        <w:rPr>
          <w:rFonts w:hint="eastAsia"/>
          <w:b/>
          <w:bCs/>
          <w:sz w:val="28"/>
          <w:szCs w:val="32"/>
        </w:rPr>
        <w:t>一、</w:t>
      </w:r>
      <w:r w:rsidR="00FC1E57" w:rsidRPr="002A397A">
        <w:rPr>
          <w:rFonts w:hint="eastAsia"/>
          <w:b/>
          <w:bCs/>
          <w:sz w:val="28"/>
          <w:szCs w:val="32"/>
        </w:rPr>
        <w:t>参赛办法</w:t>
      </w:r>
    </w:p>
    <w:p w14:paraId="01C6ACA2" w14:textId="0703FE33" w:rsidR="007A1EF0" w:rsidRDefault="007A1EF0" w:rsidP="007A1EF0">
      <w:pPr>
        <w:pStyle w:val="a9"/>
        <w:ind w:left="420"/>
        <w:rPr>
          <w:rFonts w:hint="eastAsia"/>
        </w:rPr>
      </w:pPr>
      <w:r>
        <w:rPr>
          <w:rFonts w:hint="eastAsia"/>
        </w:rPr>
        <w:t>1．中国在读研究生（包括应届毕业生）和已获得研究生入学资格的大四本科生（需提供学校保</w:t>
      </w:r>
      <w:proofErr w:type="gramStart"/>
      <w:r>
        <w:rPr>
          <w:rFonts w:hint="eastAsia"/>
        </w:rPr>
        <w:t>研</w:t>
      </w:r>
      <w:proofErr w:type="gramEnd"/>
      <w:r>
        <w:rPr>
          <w:rFonts w:hint="eastAsia"/>
        </w:rPr>
        <w:t>、录取证明）均可参赛。</w:t>
      </w:r>
    </w:p>
    <w:p w14:paraId="57AF07F1" w14:textId="08CEC8D5" w:rsidR="007A1EF0" w:rsidRDefault="007A1EF0" w:rsidP="007A1EF0">
      <w:pPr>
        <w:pStyle w:val="a9"/>
        <w:ind w:left="420"/>
        <w:rPr>
          <w:rFonts w:hint="eastAsia"/>
        </w:rPr>
      </w:pPr>
      <w:r>
        <w:rPr>
          <w:rFonts w:hint="eastAsia"/>
        </w:rPr>
        <w:t>2．以参赛队为基本报名单位，不接受个人形式报名。</w:t>
      </w:r>
    </w:p>
    <w:p w14:paraId="0DBEDE9E" w14:textId="44AC88C0" w:rsidR="007A1EF0" w:rsidRDefault="007A1EF0" w:rsidP="007A1EF0">
      <w:pPr>
        <w:pStyle w:val="a9"/>
        <w:ind w:left="420"/>
        <w:rPr>
          <w:rFonts w:hint="eastAsia"/>
        </w:rPr>
      </w:pPr>
      <w:r>
        <w:rPr>
          <w:rFonts w:hint="eastAsia"/>
        </w:rPr>
        <w:t>3．竞赛分为技术竞赛和商业计划书专项赛两大部分，两部分竞赛相互独立，组队、报名、评审、奖励工作均分开进行，互不影响。</w:t>
      </w:r>
    </w:p>
    <w:p w14:paraId="37F3E82E" w14:textId="50E23587" w:rsidR="007A1EF0" w:rsidRDefault="007A1EF0" w:rsidP="007A1EF0">
      <w:pPr>
        <w:pStyle w:val="a9"/>
        <w:ind w:left="420"/>
        <w:rPr>
          <w:rFonts w:hint="eastAsia"/>
        </w:rPr>
      </w:pPr>
      <w:r>
        <w:rPr>
          <w:rFonts w:hint="eastAsia"/>
        </w:rPr>
        <w:t>4．技术类竞赛部分由企业命题和开放命题两个赛道组成，参与企业命题赛道的团队由命题企业组织评审，分别获得企业专项奖与技术竞赛初赛、决赛团队奖，两类奖励相互独立，互为补充，奖金择高发放。</w:t>
      </w:r>
    </w:p>
    <w:p w14:paraId="78901DCA" w14:textId="4088EE5D" w:rsidR="007A1EF0" w:rsidRDefault="007A1EF0" w:rsidP="007A1EF0">
      <w:pPr>
        <w:pStyle w:val="a9"/>
        <w:ind w:left="420"/>
        <w:rPr>
          <w:rFonts w:hint="eastAsia"/>
        </w:rPr>
      </w:pPr>
      <w:r>
        <w:rPr>
          <w:rFonts w:hint="eastAsia"/>
        </w:rPr>
        <w:t>5．每支参赛队由指导老师、队长和队员组成。在同一个参赛部分（技术类竞赛或商业计划书专项赛）中，指导老师一名或两名，队长一名，队员一名至二名，每位指导老师至多指导两支参赛队，每位参赛队员只能加入一支参赛队。</w:t>
      </w:r>
    </w:p>
    <w:p w14:paraId="1445094C" w14:textId="114723D2" w:rsidR="007A1EF0" w:rsidRDefault="007A1EF0" w:rsidP="007A1EF0">
      <w:pPr>
        <w:pStyle w:val="a9"/>
        <w:ind w:left="420"/>
        <w:rPr>
          <w:rFonts w:hint="eastAsia"/>
        </w:rPr>
      </w:pPr>
      <w:r>
        <w:rPr>
          <w:rFonts w:hint="eastAsia"/>
        </w:rPr>
        <w:t>6．参赛团队成员须为是参赛作品有实质贡献的个体，不允许成员挂名。如发现挂名现象，组委会将永久取消挂名参赛者参赛资格，并向各参赛单位通报，请各位参赛者相互监督。</w:t>
      </w:r>
    </w:p>
    <w:p w14:paraId="22974130" w14:textId="6513FE60" w:rsidR="007A1EF0" w:rsidRDefault="007A1EF0" w:rsidP="007A1EF0">
      <w:pPr>
        <w:pStyle w:val="a9"/>
        <w:ind w:left="420"/>
        <w:rPr>
          <w:rFonts w:hint="eastAsia"/>
        </w:rPr>
      </w:pPr>
      <w:r>
        <w:t>7．组队时，由队长确认指导老师顺序和队员顺序，此顺序依据参赛贡献大小确定。获奖证书将严格按照组队顺序制作，不再确认和更改。跨校组队时，获奖证书单位默认以队长所在单位为准。若添加合作单位，应确保该单位至少有一名指导教师和一名学生参赛，并于报名期间向组委会邮箱提交书面申请，经审核后按参赛学生所属学校顺序予以标注。</w:t>
      </w:r>
      <w:r>
        <w:rPr>
          <w:rFonts w:ascii="Times New Roman" w:hAnsi="Times New Roman" w:cs="Times New Roman"/>
        </w:rPr>
        <w:t>‌</w:t>
      </w:r>
    </w:p>
    <w:p w14:paraId="3A1A477F" w14:textId="1C64D99F" w:rsidR="007A1EF0" w:rsidRDefault="007A1EF0" w:rsidP="007A1EF0">
      <w:pPr>
        <w:pStyle w:val="a9"/>
        <w:ind w:left="420"/>
        <w:rPr>
          <w:rFonts w:hint="eastAsia"/>
        </w:rPr>
      </w:pPr>
      <w:r>
        <w:rPr>
          <w:rFonts w:hint="eastAsia"/>
        </w:rPr>
        <w:t>8．参赛队员必须具有正式研究生学籍或已被确认录取资格。有特殊情况的研究生培养单位，参赛队中最多允许有一名是本科生，但必须事先向竞赛组委会申请并经过批准，本科生参赛申请</w:t>
      </w:r>
      <w:proofErr w:type="gramStart"/>
      <w:r>
        <w:rPr>
          <w:rFonts w:hint="eastAsia"/>
        </w:rPr>
        <w:t>详见官网附件</w:t>
      </w:r>
      <w:proofErr w:type="gramEnd"/>
      <w:r>
        <w:rPr>
          <w:rFonts w:hint="eastAsia"/>
        </w:rPr>
        <w:t>。</w:t>
      </w:r>
    </w:p>
    <w:p w14:paraId="2EA72B17" w14:textId="664EA9A5" w:rsidR="007A1EF0" w:rsidRDefault="007A1EF0" w:rsidP="007A1EF0">
      <w:pPr>
        <w:pStyle w:val="a9"/>
        <w:ind w:left="420"/>
        <w:rPr>
          <w:rFonts w:hint="eastAsia"/>
        </w:rPr>
      </w:pPr>
      <w:r>
        <w:rPr>
          <w:rFonts w:hint="eastAsia"/>
        </w:rPr>
        <w:t>9．参赛团队经过所在参赛单位同意后，在竞赛官网上完成注册、组队报名、作品提交及缴费。</w:t>
      </w:r>
    </w:p>
    <w:p w14:paraId="7936F224" w14:textId="2E1EA014" w:rsidR="007A1EF0" w:rsidRDefault="007A1EF0" w:rsidP="007A1EF0">
      <w:pPr>
        <w:pStyle w:val="a9"/>
        <w:ind w:left="420"/>
        <w:rPr>
          <w:rFonts w:hint="eastAsia"/>
        </w:rPr>
      </w:pPr>
      <w:r>
        <w:rPr>
          <w:rFonts w:hint="eastAsia"/>
        </w:rPr>
        <w:t>10．参赛单位设立研究生电子设计竞赛工作小组或联络人，在竞赛</w:t>
      </w:r>
      <w:proofErr w:type="gramStart"/>
      <w:r>
        <w:rPr>
          <w:rFonts w:hint="eastAsia"/>
        </w:rPr>
        <w:t>官网注册</w:t>
      </w:r>
      <w:proofErr w:type="gramEnd"/>
      <w:r>
        <w:rPr>
          <w:rFonts w:hint="eastAsia"/>
        </w:rPr>
        <w:t>参赛单位管理员账户，负责本参赛单位参赛团队的资格审核和信息管理。</w:t>
      </w:r>
    </w:p>
    <w:p w14:paraId="72A15C38" w14:textId="05CA959E" w:rsidR="007A1EF0" w:rsidRDefault="007A1EF0" w:rsidP="007A1EF0">
      <w:pPr>
        <w:pStyle w:val="a9"/>
        <w:ind w:left="420"/>
        <w:rPr>
          <w:rFonts w:hint="eastAsia"/>
        </w:rPr>
      </w:pPr>
      <w:r>
        <w:rPr>
          <w:rFonts w:hint="eastAsia"/>
        </w:rPr>
        <w:t>11．技术类竞赛与商业计划书专项赛报名费由主办方及秘书处单位中国电子学会收取并开具电子发票。报名费原则上每支参赛团队500元人民币，如有特殊情况，各分赛区可适当调整，并出具官方通知。</w:t>
      </w:r>
    </w:p>
    <w:p w14:paraId="629910FC" w14:textId="3CCAB2CC" w:rsidR="007A1EF0" w:rsidRDefault="007A1EF0" w:rsidP="007A1EF0">
      <w:pPr>
        <w:pStyle w:val="a9"/>
        <w:ind w:left="420"/>
        <w:rPr>
          <w:rFonts w:hint="eastAsia"/>
        </w:rPr>
      </w:pPr>
      <w:r>
        <w:rPr>
          <w:rFonts w:hint="eastAsia"/>
        </w:rPr>
        <w:t>12．技术竞赛报名时，要求在报名页面填写描述作品创新点的作品简介，并填写最能说明作品创新点的三个创新关键词及成员分工说明。</w:t>
      </w:r>
    </w:p>
    <w:p w14:paraId="33FE6F2C" w14:textId="7CF5AFB4" w:rsidR="00FC1E57" w:rsidRDefault="007A1EF0" w:rsidP="007A1EF0">
      <w:pPr>
        <w:pStyle w:val="a9"/>
        <w:ind w:left="420"/>
      </w:pPr>
      <w:r>
        <w:rPr>
          <w:rFonts w:hint="eastAsia"/>
        </w:rPr>
        <w:t>13．报名截止日期前，竞赛网站上填写的参赛队员、队员顺序及参赛作品信息均可变更，报名截止日期后，参赛队员及参赛作品不可变更，进入决赛后，参赛队可改进、完善其参赛作品，但不可更换参赛作品内容和参赛队员。如因特殊情况必须变更，参赛队需向组委会提交变更申请，组委会同意后，方可变更。擅自变更参赛信息的参赛队，组委会有权取消其参赛资格。</w:t>
      </w:r>
    </w:p>
    <w:p w14:paraId="0381B652" w14:textId="36E60B87" w:rsidR="00BE173E" w:rsidRDefault="002A397A" w:rsidP="002A397A">
      <w:pPr>
        <w:rPr>
          <w:b/>
          <w:bCs/>
          <w:sz w:val="28"/>
          <w:szCs w:val="32"/>
        </w:rPr>
      </w:pPr>
      <w:r>
        <w:rPr>
          <w:rFonts w:hint="eastAsia"/>
          <w:b/>
          <w:bCs/>
          <w:sz w:val="28"/>
          <w:szCs w:val="32"/>
        </w:rPr>
        <w:t>二、</w:t>
      </w:r>
      <w:r w:rsidR="00E7558E" w:rsidRPr="00E7558E">
        <w:rPr>
          <w:rFonts w:hint="eastAsia"/>
          <w:b/>
          <w:bCs/>
          <w:sz w:val="28"/>
          <w:szCs w:val="32"/>
        </w:rPr>
        <w:t>竞赛说明</w:t>
      </w:r>
    </w:p>
    <w:p w14:paraId="7D10D406" w14:textId="387261B7" w:rsidR="00C72B30" w:rsidRDefault="00C72B30" w:rsidP="008E4220">
      <w:pPr>
        <w:ind w:leftChars="200" w:left="420"/>
      </w:pPr>
      <w:r w:rsidRPr="00C72B30">
        <w:rPr>
          <w:rFonts w:hint="eastAsia"/>
        </w:rPr>
        <w:t>1．技术类竞赛由开放式命题与企业命题组成，并设立“光载信息”专项赛，由参赛队自主选择作品命题。评审重点考察作品的创意和创新性，技术实现以及团队综合能力。</w:t>
      </w:r>
    </w:p>
    <w:p w14:paraId="48B6328E" w14:textId="77777777" w:rsidR="00C72B30" w:rsidRDefault="00C72B30" w:rsidP="008E4220">
      <w:pPr>
        <w:ind w:firstLineChars="200" w:firstLine="420"/>
      </w:pPr>
      <w:r w:rsidRPr="00C72B30">
        <w:rPr>
          <w:rFonts w:hint="eastAsia"/>
        </w:rPr>
        <w:t xml:space="preserve"> 2．开放式命题分为以下八个参赛方向，参赛队可自行选择参赛方向： </w:t>
      </w:r>
    </w:p>
    <w:p w14:paraId="6EEA8B92" w14:textId="77777777" w:rsidR="00C72B30" w:rsidRDefault="00C72B30" w:rsidP="008E4220">
      <w:pPr>
        <w:ind w:leftChars="200" w:left="420"/>
      </w:pPr>
      <w:r w:rsidRPr="00C72B30">
        <w:rPr>
          <w:rFonts w:hint="eastAsia"/>
        </w:rPr>
        <w:t>(1)电路与嵌入式系统类，包括但不限于针对某一功能应用所开展的具有较强创新创意</w:t>
      </w:r>
      <w:r w:rsidRPr="00C72B30">
        <w:rPr>
          <w:rFonts w:hint="eastAsia"/>
        </w:rPr>
        <w:lastRenderedPageBreak/>
        <w:t>的电子电路软硬件设计、终端设备或嵌入式系统实现等，如基于FPGA、DSP、MCU、嵌入式系统等开发的软硬件系统、智能硬件、新型射频天线、并行处理系统、仪器仪表等；</w:t>
      </w:r>
    </w:p>
    <w:p w14:paraId="1470046B" w14:textId="64FF8D16" w:rsidR="00C72B30" w:rsidRDefault="00C72B30" w:rsidP="008E4220">
      <w:pPr>
        <w:ind w:left="420" w:hangingChars="200" w:hanging="420"/>
      </w:pPr>
      <w:r w:rsidRPr="00C72B30">
        <w:rPr>
          <w:rFonts w:hint="eastAsia"/>
        </w:rPr>
        <w:t xml:space="preserve"> </w:t>
      </w:r>
      <w:r w:rsidR="008E4220">
        <w:rPr>
          <w:rFonts w:hint="eastAsia"/>
        </w:rPr>
        <w:t xml:space="preserve">   </w:t>
      </w:r>
      <w:r w:rsidRPr="00C72B30">
        <w:rPr>
          <w:rFonts w:hint="eastAsia"/>
        </w:rPr>
        <w:t xml:space="preserve">(2)机电控制与智能制造类，包括但不限于实现自动控制与自主运行的创新创意软硬件系统与电气自动化系统等，如机器人，飞行器，智能车，工业自动化，电气自动化传感器、设备或系统，电能变换技术、电力电子与电力传动、电机控制技术等； </w:t>
      </w:r>
    </w:p>
    <w:p w14:paraId="75A11DBF" w14:textId="77777777" w:rsidR="00C72B30" w:rsidRDefault="00C72B30" w:rsidP="008E4220">
      <w:pPr>
        <w:ind w:leftChars="200" w:left="420"/>
      </w:pPr>
      <w:r w:rsidRPr="00C72B30">
        <w:rPr>
          <w:rFonts w:hint="eastAsia"/>
        </w:rPr>
        <w:t>(3)通信与网络技术类，包括但不限于基于各种通信及网络技术研究开发的创新创意通信网络应用模块或系统，如网络安全、无线通信、光纤通信、互联网、物联网、空间信息网、水下通信网络、工业控制网络、边缘计算等通信或网络设备、系统或软件等；</w:t>
      </w:r>
    </w:p>
    <w:p w14:paraId="76B57D5A" w14:textId="77777777" w:rsidR="00C72B30" w:rsidRDefault="00C72B30" w:rsidP="008E4220">
      <w:pPr>
        <w:ind w:leftChars="200" w:left="420"/>
      </w:pPr>
      <w:r w:rsidRPr="00C72B30">
        <w:rPr>
          <w:rFonts w:hint="eastAsia"/>
        </w:rPr>
        <w:t>(4)信息感知系统与应用类，包括但不限于光电感知、传感器、</w:t>
      </w:r>
      <w:proofErr w:type="gramStart"/>
      <w:r w:rsidRPr="00C72B30">
        <w:rPr>
          <w:rFonts w:hint="eastAsia"/>
        </w:rPr>
        <w:t>微纳传感器</w:t>
      </w:r>
      <w:proofErr w:type="gramEnd"/>
      <w:r w:rsidRPr="00C72B30">
        <w:rPr>
          <w:rFonts w:hint="eastAsia"/>
        </w:rPr>
        <w:t>与</w:t>
      </w:r>
      <w:proofErr w:type="gramStart"/>
      <w:r w:rsidRPr="00C72B30">
        <w:rPr>
          <w:rFonts w:hint="eastAsia"/>
        </w:rPr>
        <w:t>微机电</w:t>
      </w:r>
      <w:proofErr w:type="gramEnd"/>
      <w:r w:rsidRPr="00C72B30">
        <w:rPr>
          <w:rFonts w:hint="eastAsia"/>
        </w:rPr>
        <w:t>系统、空间探测等传感与信息获取类软硬件系统，如工业传感、生物传感、生态环境传感、光电探测、遥感探测、定位导航等系统的设计与实现；</w:t>
      </w:r>
    </w:p>
    <w:p w14:paraId="58012EA9" w14:textId="77777777" w:rsidR="00C72B30" w:rsidRDefault="00C72B30" w:rsidP="008E4220">
      <w:pPr>
        <w:ind w:leftChars="200" w:left="420"/>
      </w:pPr>
      <w:r w:rsidRPr="00C72B30">
        <w:rPr>
          <w:rFonts w:hint="eastAsia"/>
        </w:rPr>
        <w:t xml:space="preserve">(5)信号和信息处理技术与系统，包括但不限于视频、图像、语音、文本、频谱信号处理和信息处理、特征识别，以及信号检测及对抗的软硬件系统， 如安防监控、音视频编解码、网络文本搜索与处理、雷达信号处理、信息对抗系统等； </w:t>
      </w:r>
    </w:p>
    <w:p w14:paraId="6F68053B" w14:textId="77777777" w:rsidR="00C72B30" w:rsidRDefault="00C72B30" w:rsidP="008E4220">
      <w:pPr>
        <w:ind w:leftChars="200" w:left="420"/>
      </w:pPr>
      <w:r w:rsidRPr="00C72B30">
        <w:rPr>
          <w:rFonts w:hint="eastAsia"/>
        </w:rPr>
        <w:t>(6)人工智能类，包括不限于面向大语言基础模型、各类模态生成模型以及智能体、</w:t>
      </w:r>
      <w:proofErr w:type="gramStart"/>
      <w:r w:rsidRPr="00C72B30">
        <w:rPr>
          <w:rFonts w:hint="eastAsia"/>
        </w:rPr>
        <w:t>具身智能</w:t>
      </w:r>
      <w:proofErr w:type="gramEnd"/>
      <w:r w:rsidRPr="00C72B30">
        <w:rPr>
          <w:rFonts w:hint="eastAsia"/>
        </w:rPr>
        <w:t xml:space="preserve">平台的软硬件系统或智能应用。鼓励与当前电子信息的设计与制造流程相结合，优化垂直领域任务，形成交叉应用； </w:t>
      </w:r>
    </w:p>
    <w:p w14:paraId="2BCC1009" w14:textId="77777777" w:rsidR="00C72B30" w:rsidRDefault="00C72B30" w:rsidP="008E4220">
      <w:pPr>
        <w:ind w:leftChars="200" w:left="420"/>
      </w:pPr>
      <w:r w:rsidRPr="00C72B30">
        <w:rPr>
          <w:rFonts w:hint="eastAsia"/>
        </w:rPr>
        <w:t xml:space="preserve">(7)技术探索与交叉学科类，包括但不限于基于新材料、新器件、新工艺、新设计等构建的新型电子信息类软硬件系统，如面向生命健康、艺术创造、环境生态、清洁能源等的新型传感器、电子电路、处理器、通信网络设备、信息处理器以及应用系统等； </w:t>
      </w:r>
    </w:p>
    <w:p w14:paraId="0267624B" w14:textId="77777777" w:rsidR="00C72B30" w:rsidRDefault="00C72B30" w:rsidP="008E4220">
      <w:pPr>
        <w:ind w:leftChars="200" w:left="420"/>
      </w:pPr>
      <w:r w:rsidRPr="00C72B30">
        <w:rPr>
          <w:rFonts w:hint="eastAsia"/>
        </w:rPr>
        <w:t>(8)华为6G先进无线技术探索，包括但不限于用以构建及拓展6G愿景、应用及需求的先进无线网络创意（含支撑技术、模块或系统），如面向绿色节能、超高吞吐、超低时延、超高可靠、超远覆盖、海量连接、</w:t>
      </w:r>
      <w:proofErr w:type="gramStart"/>
      <w:r w:rsidRPr="00C72B30">
        <w:rPr>
          <w:rFonts w:hint="eastAsia"/>
        </w:rPr>
        <w:t>极</w:t>
      </w:r>
      <w:proofErr w:type="gramEnd"/>
      <w:r w:rsidRPr="00C72B30">
        <w:rPr>
          <w:rFonts w:hint="eastAsia"/>
        </w:rPr>
        <w:t>简架构、智慧互联、通感一体、内生AI及原生可信的方案、设备、系统或软件。</w:t>
      </w:r>
    </w:p>
    <w:p w14:paraId="61069C04" w14:textId="77777777" w:rsidR="00C72B30" w:rsidRDefault="00C72B30" w:rsidP="008E4220">
      <w:pPr>
        <w:ind w:firstLineChars="200" w:firstLine="420"/>
      </w:pPr>
      <w:r w:rsidRPr="00C72B30">
        <w:rPr>
          <w:rFonts w:hint="eastAsia"/>
        </w:rPr>
        <w:t xml:space="preserve">3．商业计划书专项赛分为应用赛道与探索赛道： </w:t>
      </w:r>
    </w:p>
    <w:p w14:paraId="62AE234D" w14:textId="77777777" w:rsidR="00C72B30" w:rsidRDefault="00C72B30" w:rsidP="008E4220">
      <w:pPr>
        <w:ind w:leftChars="200" w:left="420"/>
      </w:pPr>
      <w:r w:rsidRPr="00C72B30">
        <w:rPr>
          <w:rFonts w:hint="eastAsia"/>
        </w:rPr>
        <w:t xml:space="preserve">(1)应用赛道聚焦行业实际痛点，要求参赛作品为具备明确市场价值的电子信息系统、硬件产品或整体解决方案。鼓励多学科交叉融合与人工智能、电子信息技术的双向赋能。 </w:t>
      </w:r>
    </w:p>
    <w:p w14:paraId="3E2CD6FA" w14:textId="77777777" w:rsidR="00C72B30" w:rsidRDefault="00C72B30" w:rsidP="008E4220">
      <w:pPr>
        <w:ind w:firstLineChars="200" w:firstLine="420"/>
      </w:pPr>
      <w:r w:rsidRPr="00C72B30">
        <w:rPr>
          <w:rFonts w:hint="eastAsia"/>
        </w:rPr>
        <w:t xml:space="preserve">(2)探索赛道面向未来技术方向，包括以下方向： </w:t>
      </w:r>
    </w:p>
    <w:p w14:paraId="0AFD89DF" w14:textId="77777777" w:rsidR="00C72B30" w:rsidRDefault="00C72B30" w:rsidP="008E4220">
      <w:pPr>
        <w:ind w:leftChars="200" w:left="420"/>
      </w:pPr>
      <w:r w:rsidRPr="00C72B30">
        <w:rPr>
          <w:rFonts w:hint="eastAsia"/>
        </w:rPr>
        <w:t>1)汽车电子。包括但不限于多模态感知融合、车路云协同等技术的创新应用，如自动驾驶多传感器融合算法（激光雷达+视觉）、车</w:t>
      </w:r>
      <w:proofErr w:type="gramStart"/>
      <w:r w:rsidRPr="00C72B30">
        <w:rPr>
          <w:rFonts w:hint="eastAsia"/>
        </w:rPr>
        <w:t>规</w:t>
      </w:r>
      <w:proofErr w:type="gramEnd"/>
      <w:r w:rsidRPr="00C72B30">
        <w:rPr>
          <w:rFonts w:hint="eastAsia"/>
        </w:rPr>
        <w:t>级边缘计算平台等。技术核心在于实现高精度环境感知与实时决策，需突破多</w:t>
      </w:r>
      <w:proofErr w:type="gramStart"/>
      <w:r w:rsidRPr="00C72B30">
        <w:rPr>
          <w:rFonts w:hint="eastAsia"/>
        </w:rPr>
        <w:t>源数据</w:t>
      </w:r>
      <w:proofErr w:type="gramEnd"/>
      <w:r w:rsidRPr="00C72B30">
        <w:rPr>
          <w:rFonts w:hint="eastAsia"/>
        </w:rPr>
        <w:t xml:space="preserve">融合、低延时通信等关键技术。商业化切入点可聚焦智能网联汽车解决方案、高精度地图服务等场景。   </w:t>
      </w:r>
    </w:p>
    <w:p w14:paraId="57D237DE" w14:textId="77777777" w:rsidR="00C72B30" w:rsidRDefault="00C72B30" w:rsidP="008E4220">
      <w:pPr>
        <w:ind w:leftChars="200" w:left="420"/>
      </w:pPr>
      <w:r w:rsidRPr="00C72B30">
        <w:rPr>
          <w:rFonts w:hint="eastAsia"/>
        </w:rPr>
        <w:t>2)未来运载。包括但不限于低空飞行器</w:t>
      </w:r>
      <w:proofErr w:type="gramStart"/>
      <w:r w:rsidRPr="00C72B30">
        <w:rPr>
          <w:rFonts w:hint="eastAsia"/>
        </w:rPr>
        <w:t>通导遥一体化</w:t>
      </w:r>
      <w:proofErr w:type="gramEnd"/>
      <w:r w:rsidRPr="00C72B30">
        <w:rPr>
          <w:rFonts w:hint="eastAsia"/>
        </w:rPr>
        <w:t xml:space="preserve">、立体物流网络等方向，如城市物流无人机自主导航系统、低空交通管理平台等。技术核心需整合通信、导航与遥感技术（如北斗+5G），实现三维空间智能调度；商业化切入点可面向应急救援、城市立体物流等领域。   </w:t>
      </w:r>
    </w:p>
    <w:p w14:paraId="056C6606" w14:textId="77777777" w:rsidR="00C72B30" w:rsidRDefault="00C72B30" w:rsidP="008E4220">
      <w:pPr>
        <w:ind w:leftChars="200" w:left="420"/>
      </w:pPr>
      <w:r w:rsidRPr="00C72B30">
        <w:rPr>
          <w:rFonts w:hint="eastAsia"/>
        </w:rPr>
        <w:t>3)BTIT（生物技术与信息技术交叉）。包括但不限于</w:t>
      </w:r>
      <w:proofErr w:type="gramStart"/>
      <w:r w:rsidRPr="00C72B30">
        <w:rPr>
          <w:rFonts w:hint="eastAsia"/>
        </w:rPr>
        <w:t>脑机接口</w:t>
      </w:r>
      <w:proofErr w:type="gramEnd"/>
      <w:r w:rsidRPr="00C72B30">
        <w:rPr>
          <w:rFonts w:hint="eastAsia"/>
        </w:rPr>
        <w:t xml:space="preserve">、DNA存储等前沿交叉领域，如神经信号解码芯片、生物分子编码算法等。技术核心需突破生物信号噪声抑制、生物-电子接口兼容性等难题；商业化切入点可覆盖医疗康复器械（如瘫痪患者意念控制设备）、生物大数据存储服务等。   </w:t>
      </w:r>
    </w:p>
    <w:p w14:paraId="555C5F0A" w14:textId="77777777" w:rsidR="00C72B30" w:rsidRDefault="00C72B30" w:rsidP="008E4220">
      <w:pPr>
        <w:ind w:leftChars="200" w:left="420"/>
      </w:pPr>
      <w:r w:rsidRPr="00C72B30">
        <w:rPr>
          <w:rFonts w:hint="eastAsia"/>
        </w:rPr>
        <w:t>4)</w:t>
      </w:r>
      <w:proofErr w:type="gramStart"/>
      <w:r w:rsidRPr="00C72B30">
        <w:rPr>
          <w:rFonts w:hint="eastAsia"/>
        </w:rPr>
        <w:t>医</w:t>
      </w:r>
      <w:proofErr w:type="gramEnd"/>
      <w:r w:rsidRPr="00C72B30">
        <w:rPr>
          <w:rFonts w:hint="eastAsia"/>
        </w:rPr>
        <w:t xml:space="preserve">工交叉。包括但不限于智能医疗设备、精准诊疗系统等方向，如无创血糖监测贴片、手术机器人触觉反馈模块等。技术核心需融合生物传感技术与边缘计算能力，提升医疗设备的实时性与准确性；商业化切入点可针对慢病管理、微创手术等场景。   </w:t>
      </w:r>
    </w:p>
    <w:p w14:paraId="2D4E106D" w14:textId="77777777" w:rsidR="00C72B30" w:rsidRDefault="00C72B30" w:rsidP="008E4220">
      <w:pPr>
        <w:ind w:leftChars="200" w:left="420"/>
      </w:pPr>
      <w:r w:rsidRPr="00C72B30">
        <w:rPr>
          <w:rFonts w:hint="eastAsia"/>
        </w:rPr>
        <w:lastRenderedPageBreak/>
        <w:t xml:space="preserve">5)光电子。包括但不限于光子芯片设计、光电集成系统等方向，如硅基光子计算芯片、量子通信光模块等。技术核心需解决光电子器件的规模化制造与能耗优化问题；商业化切入点可面向数据中心光互联、量子加密通信等领域。    </w:t>
      </w:r>
    </w:p>
    <w:p w14:paraId="6C876BF9" w14:textId="77777777" w:rsidR="00C72B30" w:rsidRDefault="00C72B30" w:rsidP="008E4220">
      <w:pPr>
        <w:ind w:leftChars="200" w:left="420"/>
      </w:pPr>
      <w:r w:rsidRPr="00C72B30">
        <w:rPr>
          <w:rFonts w:hint="eastAsia"/>
        </w:rPr>
        <w:t>6)机器人。包括但不限于自主导航、人机协作、智能控制等技术的创新应用，如协作机器人柔性抓取系统、AI驱动的服务机器人、医疗手术机器人等。技术核心在于融合多模态感知（视觉/</w:t>
      </w:r>
      <w:proofErr w:type="gramStart"/>
      <w:r w:rsidRPr="00C72B30">
        <w:rPr>
          <w:rFonts w:hint="eastAsia"/>
        </w:rPr>
        <w:t>力觉</w:t>
      </w:r>
      <w:proofErr w:type="gramEnd"/>
      <w:r w:rsidRPr="00C72B30">
        <w:rPr>
          <w:rFonts w:hint="eastAsia"/>
        </w:rPr>
        <w:t xml:space="preserve">/触觉）、实时路径规划与自适应控制算法，需突破动态环境下的高精度定位与决策能力；商业化切入点可覆盖工业自动化（如柔性生产线）、智慧医疗（如微创手术辅助）、家庭服务（如老人陪护机器人）等场景。   </w:t>
      </w:r>
    </w:p>
    <w:p w14:paraId="749A51DF" w14:textId="77777777" w:rsidR="00C72B30" w:rsidRDefault="00C72B30" w:rsidP="008E4220">
      <w:pPr>
        <w:ind w:leftChars="200" w:left="420"/>
      </w:pPr>
      <w:r w:rsidRPr="00C72B30">
        <w:rPr>
          <w:rFonts w:hint="eastAsia"/>
        </w:rPr>
        <w:t>7)人工智能。包括但不限于深度学习、强化学习、生成式AI等前沿技术的垂直应用，如大模型驱动的行业知识引擎、多模态内容生成系统、自主进化型AI代理等。技术核心需突破小样本学习、模型轻量化、可解释性等瓶颈，实现算法-硬件-场景的协同优化；商业化切入点可聚焦智慧城市（如交通流量预测）、智能医疗（如AI辅助诊断）、金融科技（如风险智能评估）等领域。  </w:t>
      </w:r>
    </w:p>
    <w:p w14:paraId="2E33BCD8" w14:textId="77777777" w:rsidR="00C72B30" w:rsidRDefault="00C72B30" w:rsidP="008E4220">
      <w:pPr>
        <w:ind w:leftChars="200" w:left="420"/>
      </w:pPr>
      <w:r w:rsidRPr="00C72B30">
        <w:rPr>
          <w:rFonts w:hint="eastAsia"/>
        </w:rPr>
        <w:t>4．企业命题包括</w:t>
      </w:r>
      <w:proofErr w:type="gramStart"/>
      <w:r w:rsidRPr="00C72B30">
        <w:rPr>
          <w:rFonts w:hint="eastAsia"/>
        </w:rPr>
        <w:t>兆易创新</w:t>
      </w:r>
      <w:proofErr w:type="gramEnd"/>
      <w:r w:rsidRPr="00C72B30">
        <w:rPr>
          <w:rFonts w:hint="eastAsia"/>
        </w:rPr>
        <w:t>命题、华为命题、小米命题、无问芯</w:t>
      </w:r>
      <w:proofErr w:type="gramStart"/>
      <w:r w:rsidRPr="00C72B30">
        <w:rPr>
          <w:rFonts w:hint="eastAsia"/>
        </w:rPr>
        <w:t>穹</w:t>
      </w:r>
      <w:proofErr w:type="gramEnd"/>
      <w:r w:rsidRPr="00C72B30">
        <w:rPr>
          <w:rFonts w:hint="eastAsia"/>
        </w:rPr>
        <w:t>命题、飞腾命题、</w:t>
      </w:r>
      <w:proofErr w:type="gramStart"/>
      <w:r w:rsidRPr="00C72B30">
        <w:rPr>
          <w:rFonts w:hint="eastAsia"/>
        </w:rPr>
        <w:t>算能命题</w:t>
      </w:r>
      <w:proofErr w:type="gramEnd"/>
      <w:r w:rsidRPr="00C72B30">
        <w:rPr>
          <w:rFonts w:hint="eastAsia"/>
        </w:rPr>
        <w:t>、优利德命题、Ti命题，新思科技、MathWorks设立企业专项奖，并增设</w:t>
      </w:r>
      <w:proofErr w:type="gramStart"/>
      <w:r w:rsidRPr="00C72B30">
        <w:rPr>
          <w:rFonts w:hint="eastAsia"/>
        </w:rPr>
        <w:t>城市具身智能</w:t>
      </w:r>
      <w:proofErr w:type="gramEnd"/>
      <w:r w:rsidRPr="00C72B30">
        <w:rPr>
          <w:rFonts w:hint="eastAsia"/>
        </w:rPr>
        <w:t xml:space="preserve">命题。具体命题信息请于2025年3月参见竞赛官方网站。 </w:t>
      </w:r>
    </w:p>
    <w:p w14:paraId="6DED149C" w14:textId="77777777" w:rsidR="00C72B30" w:rsidRDefault="00C72B30" w:rsidP="008E4220">
      <w:pPr>
        <w:ind w:leftChars="200" w:left="420"/>
      </w:pPr>
      <w:r w:rsidRPr="00C72B30">
        <w:rPr>
          <w:rFonts w:hint="eastAsia"/>
        </w:rPr>
        <w:t>5．“光载信息”专项赛面向以光为载体的未来信息技术方案、算法、协议、软件、电路、元器件、系统，包括但不限于光通信技术、光感知技术、光计算技术、光显示技术、</w:t>
      </w:r>
      <w:proofErr w:type="gramStart"/>
      <w:r w:rsidRPr="00C72B30">
        <w:rPr>
          <w:rFonts w:hint="eastAsia"/>
        </w:rPr>
        <w:t>光健康</w:t>
      </w:r>
      <w:proofErr w:type="gramEnd"/>
      <w:r w:rsidRPr="00C72B30">
        <w:rPr>
          <w:rFonts w:hint="eastAsia"/>
        </w:rPr>
        <w:t>技术、感/通/算/显/康/照一体化技术、空天地海一体化技术、光电元器件模块设计和工艺技术、</w:t>
      </w:r>
      <w:proofErr w:type="gramStart"/>
      <w:r w:rsidRPr="00C72B30">
        <w:rPr>
          <w:rFonts w:hint="eastAsia"/>
        </w:rPr>
        <w:t>光载信息</w:t>
      </w:r>
      <w:proofErr w:type="gramEnd"/>
      <w:r w:rsidRPr="00C72B30">
        <w:rPr>
          <w:rFonts w:hint="eastAsia"/>
        </w:rPr>
        <w:t xml:space="preserve">感知方案算法设计。 </w:t>
      </w:r>
    </w:p>
    <w:p w14:paraId="1DED5563" w14:textId="77777777" w:rsidR="00C72B30" w:rsidRDefault="00C72B30" w:rsidP="008E4220">
      <w:pPr>
        <w:ind w:leftChars="200" w:left="420"/>
      </w:pPr>
      <w:r w:rsidRPr="00C72B30">
        <w:rPr>
          <w:rFonts w:hint="eastAsia"/>
        </w:rPr>
        <w:t>6．技术类竞赛要求参赛</w:t>
      </w:r>
      <w:proofErr w:type="gramStart"/>
      <w:r w:rsidRPr="00C72B30">
        <w:rPr>
          <w:rFonts w:hint="eastAsia"/>
        </w:rPr>
        <w:t>队制作</w:t>
      </w:r>
      <w:proofErr w:type="gramEnd"/>
      <w:r w:rsidRPr="00C72B30">
        <w:rPr>
          <w:rFonts w:hint="eastAsia"/>
        </w:rPr>
        <w:t>符合设计方案的演示实物，向组委会提交的参赛文件为技术论文、演示视频、</w:t>
      </w:r>
      <w:proofErr w:type="gramStart"/>
      <w:r w:rsidRPr="00C72B30">
        <w:rPr>
          <w:rFonts w:hint="eastAsia"/>
        </w:rPr>
        <w:t>门型展架</w:t>
      </w:r>
      <w:proofErr w:type="gramEnd"/>
      <w:r w:rsidRPr="00C72B30">
        <w:rPr>
          <w:rFonts w:hint="eastAsia"/>
        </w:rPr>
        <w:t xml:space="preserve">设计图片与作品照片的电子文件。 </w:t>
      </w:r>
    </w:p>
    <w:p w14:paraId="2E508E6B" w14:textId="77777777" w:rsidR="00C72B30" w:rsidRDefault="00C72B30" w:rsidP="008E4220">
      <w:pPr>
        <w:ind w:leftChars="200" w:left="420"/>
      </w:pPr>
      <w:r w:rsidRPr="00C72B30">
        <w:rPr>
          <w:rFonts w:hint="eastAsia"/>
        </w:rPr>
        <w:t xml:space="preserve">7．要求商业计划书专项赛中涉及的作品是已实现功能的实物，并向组委会提交的参赛文件为作品演示视频、作品介绍 PPT 和商业计划书的电子文件。 </w:t>
      </w:r>
    </w:p>
    <w:p w14:paraId="06FCC7A5" w14:textId="77777777" w:rsidR="00C72B30" w:rsidRDefault="00C72B30" w:rsidP="008E4220">
      <w:pPr>
        <w:ind w:leftChars="200" w:left="420"/>
      </w:pPr>
      <w:r w:rsidRPr="00C72B30">
        <w:rPr>
          <w:rFonts w:hint="eastAsia"/>
        </w:rPr>
        <w:t xml:space="preserve">8．组委会不限制参赛作品所使用工具的品牌和型号，由参赛队自行选择， 所使用软硬件工具的品牌不影响竞赛成绩。 </w:t>
      </w:r>
    </w:p>
    <w:p w14:paraId="1B8B83EF" w14:textId="77777777" w:rsidR="00C72B30" w:rsidRDefault="00C72B30" w:rsidP="008E4220">
      <w:pPr>
        <w:ind w:leftChars="200" w:left="420"/>
      </w:pPr>
      <w:r w:rsidRPr="00C72B30">
        <w:rPr>
          <w:rFonts w:hint="eastAsia"/>
        </w:rPr>
        <w:t xml:space="preserve">9．参赛队拥有其参赛作品的知识产权，不可抄袭他人作品或侵占他人知识产权。如有违规，组委会有权取消其参赛资格。 </w:t>
      </w:r>
    </w:p>
    <w:p w14:paraId="0BB3D49B" w14:textId="77777777" w:rsidR="00C72B30" w:rsidRDefault="00C72B30" w:rsidP="008E4220">
      <w:pPr>
        <w:ind w:leftChars="200" w:left="420"/>
      </w:pPr>
      <w:r w:rsidRPr="00C72B30">
        <w:rPr>
          <w:rFonts w:hint="eastAsia"/>
        </w:rPr>
        <w:t xml:space="preserve">10．同一学校同一主题作品不可连续参赛，如果确实有重大改进，请在初赛提交作品时标注往届获奖情况，并提交《作品重大改进说明》。 </w:t>
      </w:r>
    </w:p>
    <w:p w14:paraId="42429FF7" w14:textId="7CFC0AA4" w:rsidR="008E4220" w:rsidRPr="00C72B30" w:rsidRDefault="00C72B30" w:rsidP="00F97CB3">
      <w:pPr>
        <w:ind w:leftChars="200" w:left="420"/>
        <w:rPr>
          <w:rFonts w:hint="eastAsia"/>
        </w:rPr>
      </w:pPr>
      <w:r w:rsidRPr="00C72B30">
        <w:rPr>
          <w:rFonts w:hint="eastAsia"/>
        </w:rPr>
        <w:t>11．竞赛根据往届参赛数据建立论文库并查重。论文重复率高且未提交《作品重大改进说明》，经专家鉴定为重复参赛或无实质创新、作品雷同或有抄袭行为的团队，将被取消参赛资格，并向参赛单位进行通报。</w:t>
      </w:r>
    </w:p>
    <w:sectPr w:rsidR="008E4220" w:rsidRPr="00C72B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DA409" w14:textId="77777777" w:rsidR="008E4CF1" w:rsidRDefault="008E4CF1" w:rsidP="00A05D03">
      <w:pPr>
        <w:rPr>
          <w:rFonts w:hint="eastAsia"/>
        </w:rPr>
      </w:pPr>
      <w:r>
        <w:separator/>
      </w:r>
    </w:p>
  </w:endnote>
  <w:endnote w:type="continuationSeparator" w:id="0">
    <w:p w14:paraId="0AD38704" w14:textId="77777777" w:rsidR="008E4CF1" w:rsidRDefault="008E4CF1" w:rsidP="00A05D0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2D878" w14:textId="77777777" w:rsidR="008E4CF1" w:rsidRDefault="008E4CF1" w:rsidP="00A05D03">
      <w:pPr>
        <w:rPr>
          <w:rFonts w:hint="eastAsia"/>
        </w:rPr>
      </w:pPr>
      <w:r>
        <w:separator/>
      </w:r>
    </w:p>
  </w:footnote>
  <w:footnote w:type="continuationSeparator" w:id="0">
    <w:p w14:paraId="3CFDA1C3" w14:textId="77777777" w:rsidR="008E4CF1" w:rsidRDefault="008E4CF1" w:rsidP="00A05D03">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0465"/>
    <w:multiLevelType w:val="hybridMultilevel"/>
    <w:tmpl w:val="B5422BD4"/>
    <w:lvl w:ilvl="0" w:tplc="CD4EA6C8">
      <w:start w:val="1"/>
      <w:numFmt w:val="japaneseCounting"/>
      <w:lvlText w:val="%1、"/>
      <w:lvlJc w:val="left"/>
      <w:pPr>
        <w:ind w:left="720" w:hanging="720"/>
      </w:pPr>
      <w:rPr>
        <w:rFonts w:hint="default"/>
        <w:b w:val="0"/>
        <w:sz w:val="21"/>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19F05B0"/>
    <w:multiLevelType w:val="hybridMultilevel"/>
    <w:tmpl w:val="9042CFCC"/>
    <w:lvl w:ilvl="0" w:tplc="47C6D9C8">
      <w:start w:val="1"/>
      <w:numFmt w:val="japaneseCounting"/>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6D8D112C"/>
    <w:multiLevelType w:val="hybridMultilevel"/>
    <w:tmpl w:val="0F0A5BAC"/>
    <w:lvl w:ilvl="0" w:tplc="03E4C44C">
      <w:start w:val="1"/>
      <w:numFmt w:val="japaneseCounting"/>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05167782">
    <w:abstractNumId w:val="2"/>
  </w:num>
  <w:num w:numId="2" w16cid:durableId="1404835928">
    <w:abstractNumId w:val="1"/>
  </w:num>
  <w:num w:numId="3" w16cid:durableId="141433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095"/>
    <w:rsid w:val="001E1095"/>
    <w:rsid w:val="002A397A"/>
    <w:rsid w:val="00367C1D"/>
    <w:rsid w:val="007A1EF0"/>
    <w:rsid w:val="00833E16"/>
    <w:rsid w:val="008E4220"/>
    <w:rsid w:val="008E4CF1"/>
    <w:rsid w:val="00A05D03"/>
    <w:rsid w:val="00A3756F"/>
    <w:rsid w:val="00B833C6"/>
    <w:rsid w:val="00BE173E"/>
    <w:rsid w:val="00C1112C"/>
    <w:rsid w:val="00C34EDF"/>
    <w:rsid w:val="00C72B30"/>
    <w:rsid w:val="00CD7191"/>
    <w:rsid w:val="00D63F71"/>
    <w:rsid w:val="00E7558E"/>
    <w:rsid w:val="00F97CB3"/>
    <w:rsid w:val="00FC1E57"/>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3AE59"/>
  <w15:chartTrackingRefBased/>
  <w15:docId w15:val="{5BFFDF05-71DD-44A8-870D-B0366BB18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E109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1E109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E109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1E109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E109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1E109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1E109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1E109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1E109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E109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1E109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E109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1E1095"/>
    <w:rPr>
      <w:rFonts w:cstheme="majorBidi"/>
      <w:color w:val="0F4761" w:themeColor="accent1" w:themeShade="BF"/>
      <w:sz w:val="28"/>
      <w:szCs w:val="28"/>
    </w:rPr>
  </w:style>
  <w:style w:type="character" w:customStyle="1" w:styleId="50">
    <w:name w:val="标题 5 字符"/>
    <w:basedOn w:val="a0"/>
    <w:link w:val="5"/>
    <w:uiPriority w:val="9"/>
    <w:semiHidden/>
    <w:rsid w:val="001E1095"/>
    <w:rPr>
      <w:rFonts w:cstheme="majorBidi"/>
      <w:color w:val="0F4761" w:themeColor="accent1" w:themeShade="BF"/>
      <w:sz w:val="24"/>
      <w:szCs w:val="24"/>
    </w:rPr>
  </w:style>
  <w:style w:type="character" w:customStyle="1" w:styleId="60">
    <w:name w:val="标题 6 字符"/>
    <w:basedOn w:val="a0"/>
    <w:link w:val="6"/>
    <w:uiPriority w:val="9"/>
    <w:semiHidden/>
    <w:rsid w:val="001E1095"/>
    <w:rPr>
      <w:rFonts w:cstheme="majorBidi"/>
      <w:b/>
      <w:bCs/>
      <w:color w:val="0F4761" w:themeColor="accent1" w:themeShade="BF"/>
    </w:rPr>
  </w:style>
  <w:style w:type="character" w:customStyle="1" w:styleId="70">
    <w:name w:val="标题 7 字符"/>
    <w:basedOn w:val="a0"/>
    <w:link w:val="7"/>
    <w:uiPriority w:val="9"/>
    <w:semiHidden/>
    <w:rsid w:val="001E1095"/>
    <w:rPr>
      <w:rFonts w:cstheme="majorBidi"/>
      <w:b/>
      <w:bCs/>
      <w:color w:val="595959" w:themeColor="text1" w:themeTint="A6"/>
    </w:rPr>
  </w:style>
  <w:style w:type="character" w:customStyle="1" w:styleId="80">
    <w:name w:val="标题 8 字符"/>
    <w:basedOn w:val="a0"/>
    <w:link w:val="8"/>
    <w:uiPriority w:val="9"/>
    <w:semiHidden/>
    <w:rsid w:val="001E1095"/>
    <w:rPr>
      <w:rFonts w:cstheme="majorBidi"/>
      <w:color w:val="595959" w:themeColor="text1" w:themeTint="A6"/>
    </w:rPr>
  </w:style>
  <w:style w:type="character" w:customStyle="1" w:styleId="90">
    <w:name w:val="标题 9 字符"/>
    <w:basedOn w:val="a0"/>
    <w:link w:val="9"/>
    <w:uiPriority w:val="9"/>
    <w:semiHidden/>
    <w:rsid w:val="001E1095"/>
    <w:rPr>
      <w:rFonts w:eastAsiaTheme="majorEastAsia" w:cstheme="majorBidi"/>
      <w:color w:val="595959" w:themeColor="text1" w:themeTint="A6"/>
    </w:rPr>
  </w:style>
  <w:style w:type="paragraph" w:styleId="a3">
    <w:name w:val="Title"/>
    <w:basedOn w:val="a"/>
    <w:next w:val="a"/>
    <w:link w:val="a4"/>
    <w:uiPriority w:val="10"/>
    <w:qFormat/>
    <w:rsid w:val="001E109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E109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E109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E109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E1095"/>
    <w:pPr>
      <w:spacing w:before="160" w:after="160"/>
      <w:jc w:val="center"/>
    </w:pPr>
    <w:rPr>
      <w:i/>
      <w:iCs/>
      <w:color w:val="404040" w:themeColor="text1" w:themeTint="BF"/>
    </w:rPr>
  </w:style>
  <w:style w:type="character" w:customStyle="1" w:styleId="a8">
    <w:name w:val="引用 字符"/>
    <w:basedOn w:val="a0"/>
    <w:link w:val="a7"/>
    <w:uiPriority w:val="29"/>
    <w:rsid w:val="001E1095"/>
    <w:rPr>
      <w:i/>
      <w:iCs/>
      <w:color w:val="404040" w:themeColor="text1" w:themeTint="BF"/>
    </w:rPr>
  </w:style>
  <w:style w:type="paragraph" w:styleId="a9">
    <w:name w:val="List Paragraph"/>
    <w:basedOn w:val="a"/>
    <w:uiPriority w:val="34"/>
    <w:qFormat/>
    <w:rsid w:val="001E1095"/>
    <w:pPr>
      <w:ind w:left="720"/>
      <w:contextualSpacing/>
    </w:pPr>
  </w:style>
  <w:style w:type="character" w:styleId="aa">
    <w:name w:val="Intense Emphasis"/>
    <w:basedOn w:val="a0"/>
    <w:uiPriority w:val="21"/>
    <w:qFormat/>
    <w:rsid w:val="001E1095"/>
    <w:rPr>
      <w:i/>
      <w:iCs/>
      <w:color w:val="0F4761" w:themeColor="accent1" w:themeShade="BF"/>
    </w:rPr>
  </w:style>
  <w:style w:type="paragraph" w:styleId="ab">
    <w:name w:val="Intense Quote"/>
    <w:basedOn w:val="a"/>
    <w:next w:val="a"/>
    <w:link w:val="ac"/>
    <w:uiPriority w:val="30"/>
    <w:qFormat/>
    <w:rsid w:val="001E10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1E1095"/>
    <w:rPr>
      <w:i/>
      <w:iCs/>
      <w:color w:val="0F4761" w:themeColor="accent1" w:themeShade="BF"/>
    </w:rPr>
  </w:style>
  <w:style w:type="character" w:styleId="ad">
    <w:name w:val="Intense Reference"/>
    <w:basedOn w:val="a0"/>
    <w:uiPriority w:val="32"/>
    <w:qFormat/>
    <w:rsid w:val="001E1095"/>
    <w:rPr>
      <w:b/>
      <w:bCs/>
      <w:smallCaps/>
      <w:color w:val="0F4761" w:themeColor="accent1" w:themeShade="BF"/>
      <w:spacing w:val="5"/>
    </w:rPr>
  </w:style>
  <w:style w:type="paragraph" w:styleId="ae">
    <w:name w:val="header"/>
    <w:basedOn w:val="a"/>
    <w:link w:val="af"/>
    <w:uiPriority w:val="99"/>
    <w:unhideWhenUsed/>
    <w:rsid w:val="00A05D03"/>
    <w:pPr>
      <w:tabs>
        <w:tab w:val="center" w:pos="4153"/>
        <w:tab w:val="right" w:pos="8306"/>
      </w:tabs>
      <w:snapToGrid w:val="0"/>
      <w:jc w:val="center"/>
    </w:pPr>
    <w:rPr>
      <w:sz w:val="18"/>
      <w:szCs w:val="18"/>
    </w:rPr>
  </w:style>
  <w:style w:type="character" w:customStyle="1" w:styleId="af">
    <w:name w:val="页眉 字符"/>
    <w:basedOn w:val="a0"/>
    <w:link w:val="ae"/>
    <w:uiPriority w:val="99"/>
    <w:rsid w:val="00A05D03"/>
    <w:rPr>
      <w:sz w:val="18"/>
      <w:szCs w:val="18"/>
    </w:rPr>
  </w:style>
  <w:style w:type="paragraph" w:styleId="af0">
    <w:name w:val="footer"/>
    <w:basedOn w:val="a"/>
    <w:link w:val="af1"/>
    <w:uiPriority w:val="99"/>
    <w:unhideWhenUsed/>
    <w:rsid w:val="00A05D03"/>
    <w:pPr>
      <w:tabs>
        <w:tab w:val="center" w:pos="4153"/>
        <w:tab w:val="right" w:pos="8306"/>
      </w:tabs>
      <w:snapToGrid w:val="0"/>
      <w:jc w:val="left"/>
    </w:pPr>
    <w:rPr>
      <w:sz w:val="18"/>
      <w:szCs w:val="18"/>
    </w:rPr>
  </w:style>
  <w:style w:type="character" w:customStyle="1" w:styleId="af1">
    <w:name w:val="页脚 字符"/>
    <w:basedOn w:val="a0"/>
    <w:link w:val="af0"/>
    <w:uiPriority w:val="99"/>
    <w:rsid w:val="00A05D0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1895</Words>
  <Characters>2009</Characters>
  <Application>Microsoft Office Word</Application>
  <DocSecurity>0</DocSecurity>
  <Lines>200</Lines>
  <Paragraphs>229</Paragraphs>
  <ScaleCrop>false</ScaleCrop>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15</cp:revision>
  <dcterms:created xsi:type="dcterms:W3CDTF">2025-05-16T04:58:00Z</dcterms:created>
  <dcterms:modified xsi:type="dcterms:W3CDTF">2025-05-16T05:08:00Z</dcterms:modified>
</cp:coreProperties>
</file>