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仿宋" w:hAnsi="仿宋" w:eastAsia="仿宋" w:cs="方正小标宋简体"/>
          <w:sz w:val="32"/>
          <w:szCs w:val="32"/>
        </w:rPr>
      </w:pPr>
      <w:r>
        <w:rPr>
          <w:rFonts w:hint="eastAsia" w:ascii="仿宋" w:hAnsi="仿宋" w:eastAsia="仿宋" w:cs="方正小标宋简体"/>
          <w:sz w:val="32"/>
          <w:szCs w:val="32"/>
        </w:rPr>
        <w:t>赛题汇总</w:t>
      </w:r>
    </w:p>
    <w:p>
      <w:pPr>
        <w:keepNext w:val="0"/>
        <w:keepLines w:val="0"/>
        <w:pageBreakBefore w:val="0"/>
        <w:widowControl w:val="0"/>
        <w:kinsoku/>
        <w:wordWrap/>
        <w:overflowPunct/>
        <w:topLinePunct w:val="0"/>
        <w:autoSpaceDE/>
        <w:autoSpaceDN/>
        <w:bidi w:val="0"/>
        <w:adjustRightInd/>
        <w:snapToGrid w:val="0"/>
        <w:spacing w:before="120" w:beforeLines="50" w:after="120" w:afterLines="50" w:line="500" w:lineRule="exact"/>
        <w:jc w:val="center"/>
        <w:textAlignment w:val="auto"/>
        <w:outlineLvl w:val="9"/>
        <w:rPr>
          <w:rFonts w:ascii="仿宋" w:hAnsi="仿宋" w:eastAsia="仿宋" w:cs="仿宋_GB2312"/>
          <w:b/>
          <w:bCs/>
          <w:sz w:val="32"/>
          <w:szCs w:val="32"/>
        </w:rPr>
      </w:pPr>
      <w:bookmarkStart w:id="0" w:name="_Toc18218"/>
      <w:r>
        <w:rPr>
          <w:rFonts w:hint="eastAsia" w:ascii="仿宋" w:hAnsi="仿宋" w:eastAsia="仿宋" w:cs="仿宋_GB2312"/>
          <w:b/>
          <w:bCs/>
          <w:sz w:val="32"/>
          <w:szCs w:val="32"/>
        </w:rPr>
        <w:t>命题1（赛道一：环境与绿色科技）</w:t>
      </w:r>
      <w:bookmarkEnd w:id="0"/>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outlineLvl w:val="9"/>
              <w:rPr>
                <w:rFonts w:ascii="仿宋" w:hAnsi="仿宋" w:eastAsia="仿宋" w:cs="仿宋"/>
                <w:b/>
                <w:bCs/>
                <w:kern w:val="0"/>
                <w:sz w:val="28"/>
                <w:szCs w:val="28"/>
              </w:rPr>
            </w:pPr>
            <w:bookmarkStart w:id="1" w:name="_Toc20782"/>
            <w:r>
              <w:rPr>
                <w:rFonts w:hint="eastAsia" w:ascii="仿宋" w:hAnsi="仿宋" w:eastAsia="仿宋" w:cs="仿宋"/>
                <w:b/>
                <w:bCs/>
                <w:kern w:val="0"/>
                <w:sz w:val="28"/>
                <w:szCs w:val="28"/>
              </w:rPr>
              <w:t>主题：水处理工艺的碳减排及能量回收技术</w:t>
            </w:r>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textAlignment w:val="auto"/>
              <w:rPr>
                <w:rFonts w:ascii="仿宋" w:hAnsi="仿宋" w:eastAsia="仿宋" w:cs="仿宋"/>
                <w:kern w:val="0"/>
                <w:sz w:val="28"/>
                <w:szCs w:val="28"/>
              </w:rPr>
            </w:pPr>
            <w:r>
              <w:rPr>
                <w:rFonts w:hint="eastAsia" w:ascii="仿宋" w:hAnsi="仿宋" w:eastAsia="仿宋" w:cs="仿宋"/>
                <w:kern w:val="0"/>
                <w:sz w:val="28"/>
                <w:szCs w:val="28"/>
              </w:rPr>
              <w:tab/>
            </w:r>
            <w:r>
              <w:rPr>
                <w:rFonts w:hint="eastAsia" w:ascii="仿宋" w:hAnsi="仿宋" w:eastAsia="仿宋" w:cs="仿宋"/>
                <w:kern w:val="0"/>
                <w:sz w:val="28"/>
                <w:szCs w:val="28"/>
              </w:rPr>
              <w:t>水处理行业是支撑现代城市运转的基石，城市生活、生产在供排水系统的支持下才得以正常进行。但水处理厂的运行会消耗大量电力，大量碳排放也伴随着高额电耗产生。传统的城镇污水处理技术（如活性污泥法）在净化污水的同时消耗了大量能源。据统计，我国城镇污水处理能耗约占全社会用电量的1%左右，温室气体排放量超过1亿吨二氧化碳当量。除了高能耗问题，传统</w:t>
            </w:r>
            <w:r>
              <w:rPr>
                <w:rFonts w:hint="eastAsia" w:ascii="仿宋" w:hAnsi="仿宋" w:eastAsia="仿宋" w:cs="仿宋"/>
                <w:kern w:val="0"/>
                <w:sz w:val="28"/>
                <w:szCs w:val="28"/>
                <w:lang w:eastAsia="zh-CN"/>
              </w:rPr>
              <w:t>污水处理厂</w:t>
            </w:r>
            <w:r>
              <w:rPr>
                <w:rFonts w:hint="eastAsia" w:ascii="仿宋" w:hAnsi="仿宋" w:eastAsia="仿宋" w:cs="仿宋"/>
                <w:kern w:val="0"/>
                <w:sz w:val="28"/>
                <w:szCs w:val="28"/>
              </w:rPr>
              <w:t>还面临着水资源再生率低、污泥资源利用率低等问题，存在大量的减碳潜力。另一方面，污水是资源与能源的载体，其中所含有机碳资源所蕴含能量可达污水处理</w:t>
            </w:r>
            <w:r>
              <w:rPr>
                <w:rFonts w:hint="eastAsia" w:ascii="仿宋" w:hAnsi="仿宋" w:eastAsia="仿宋" w:cs="仿宋"/>
                <w:kern w:val="0"/>
                <w:sz w:val="28"/>
                <w:szCs w:val="28"/>
                <w:lang w:eastAsia="zh-CN"/>
              </w:rPr>
              <w:t>能耗</w:t>
            </w:r>
            <w:r>
              <w:rPr>
                <w:rFonts w:hint="eastAsia" w:ascii="仿宋" w:hAnsi="仿宋" w:eastAsia="仿宋" w:cs="仿宋"/>
                <w:kern w:val="0"/>
                <w:sz w:val="28"/>
                <w:szCs w:val="28"/>
              </w:rPr>
              <w:t>的5</w:t>
            </w:r>
            <w:r>
              <w:rPr>
                <w:rFonts w:hint="eastAsia" w:ascii="仿宋" w:hAnsi="仿宋" w:eastAsia="仿宋" w:cs="仿宋"/>
                <w:kern w:val="0"/>
                <w:sz w:val="28"/>
                <w:szCs w:val="28"/>
                <w:lang w:eastAsia="zh-CN"/>
              </w:rPr>
              <w:t>至</w:t>
            </w:r>
            <w:r>
              <w:rPr>
                <w:rFonts w:hint="eastAsia" w:ascii="仿宋" w:hAnsi="仿宋" w:eastAsia="仿宋" w:cs="仿宋"/>
                <w:kern w:val="0"/>
                <w:sz w:val="28"/>
                <w:szCs w:val="28"/>
              </w:rPr>
              <w:t>10倍，这意味着若能高效捕捉利用污水中的有机碳源，回收其能量，用来反哺城镇污水处理厂的运行能耗，可以实现能源自给，并降低污水处理厂生命周期内的温室气体排放，最终达到碳中和运行。未来双碳政策力度将进一步加强，水处理行业应该如何在双碳理念的指导下解决水资源低再生利用率问题、降低水处理过程能耗、实现污水和污泥资源化，助力双碳政策推进呢？</w:t>
            </w:r>
            <w:r>
              <w:rPr>
                <w:rFonts w:hint="eastAsia" w:ascii="仿宋" w:hAnsi="仿宋" w:eastAsia="仿宋" w:cs="仿宋"/>
                <w:kern w:val="0"/>
                <w:sz w:val="28"/>
                <w:szCs w:val="28"/>
              </w:rPr>
              <w:tab/>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仿宋"/>
                <w:kern w:val="0"/>
                <w:sz w:val="28"/>
                <w:szCs w:val="28"/>
              </w:rPr>
            </w:pPr>
            <w:r>
              <w:rPr>
                <w:rFonts w:hint="eastAsia" w:ascii="仿宋" w:hAnsi="仿宋" w:eastAsia="仿宋" w:cs="仿宋"/>
                <w:kern w:val="0"/>
                <w:sz w:val="28"/>
                <w:szCs w:val="28"/>
              </w:rPr>
              <w:t>拟通过本主题，通力合作，运用水处理新工艺，发展污水有机碳源捕捉与能量回收技术，推动低能耗和高效的水处理系统的发展和应用，实现污水和污泥资源化，探索绿色、低碳的水处理方法。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6"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val="zh-TW"/>
              </w:rPr>
              <w:t>：</w:t>
            </w:r>
          </w:p>
          <w:p>
            <w:pPr>
              <w:keepNext w:val="0"/>
              <w:keepLines w:val="0"/>
              <w:pageBreakBefore w:val="0"/>
              <w:widowControl w:val="0"/>
              <w:kinsoku/>
              <w:wordWrap/>
              <w:overflowPunct/>
              <w:topLinePunct w:val="0"/>
              <w:autoSpaceDE/>
              <w:autoSpaceDN/>
              <w:bidi w:val="0"/>
              <w:adjustRightInd/>
              <w:snapToGrid w:val="0"/>
              <w:spacing w:line="312" w:lineRule="auto"/>
              <w:textAlignment w:val="auto"/>
              <w:rPr>
                <w:rFonts w:hint="eastAsia" w:ascii="仿宋" w:hAnsi="仿宋" w:eastAsia="仿宋" w:cs="仿宋"/>
                <w:kern w:val="0"/>
                <w:sz w:val="28"/>
                <w:szCs w:val="28"/>
              </w:rPr>
            </w:pPr>
            <w:r>
              <w:rPr>
                <w:rFonts w:hint="eastAsia" w:ascii="仿宋" w:hAnsi="仿宋" w:eastAsia="仿宋" w:cs="仿宋"/>
                <w:kern w:val="0"/>
                <w:sz w:val="28"/>
                <w:szCs w:val="28"/>
              </w:rPr>
              <w:t>1.新概念水厂</w:t>
            </w:r>
          </w:p>
          <w:p>
            <w:pPr>
              <w:keepNext w:val="0"/>
              <w:keepLines w:val="0"/>
              <w:pageBreakBefore w:val="0"/>
              <w:widowControl w:val="0"/>
              <w:kinsoku/>
              <w:wordWrap/>
              <w:overflowPunct/>
              <w:topLinePunct w:val="0"/>
              <w:autoSpaceDE/>
              <w:autoSpaceDN/>
              <w:bidi w:val="0"/>
              <w:adjustRightInd/>
              <w:snapToGrid w:val="0"/>
              <w:spacing w:line="312" w:lineRule="auto"/>
              <w:textAlignment w:val="auto"/>
              <w:rPr>
                <w:rFonts w:hint="eastAsia" w:ascii="仿宋" w:hAnsi="仿宋" w:eastAsia="仿宋" w:cs="仿宋"/>
                <w:kern w:val="0"/>
                <w:sz w:val="28"/>
                <w:szCs w:val="28"/>
              </w:rPr>
            </w:pPr>
            <w:r>
              <w:rPr>
                <w:rFonts w:hint="eastAsia" w:ascii="仿宋" w:hAnsi="仿宋" w:eastAsia="仿宋" w:cs="仿宋"/>
                <w:kern w:val="0"/>
                <w:sz w:val="28"/>
                <w:szCs w:val="28"/>
              </w:rPr>
              <w:t>2.低碳的污水处理技术及污水有机碳源捕捉与能量回收技术</w:t>
            </w:r>
          </w:p>
          <w:p>
            <w:pPr>
              <w:keepNext w:val="0"/>
              <w:keepLines w:val="0"/>
              <w:pageBreakBefore w:val="0"/>
              <w:widowControl w:val="0"/>
              <w:kinsoku/>
              <w:wordWrap/>
              <w:overflowPunct/>
              <w:topLinePunct w:val="0"/>
              <w:autoSpaceDE/>
              <w:autoSpaceDN/>
              <w:bidi w:val="0"/>
              <w:adjustRightInd/>
              <w:snapToGrid w:val="0"/>
              <w:spacing w:line="312" w:lineRule="auto"/>
              <w:textAlignment w:val="auto"/>
              <w:rPr>
                <w:rFonts w:hint="eastAsia" w:ascii="仿宋" w:hAnsi="仿宋" w:eastAsia="仿宋" w:cs="仿宋"/>
                <w:kern w:val="0"/>
                <w:sz w:val="28"/>
                <w:szCs w:val="28"/>
              </w:rPr>
            </w:pPr>
            <w:r>
              <w:rPr>
                <w:rFonts w:hint="eastAsia" w:ascii="仿宋" w:hAnsi="仿宋" w:eastAsia="仿宋" w:cs="仿宋"/>
                <w:kern w:val="0"/>
                <w:sz w:val="28"/>
                <w:szCs w:val="28"/>
              </w:rPr>
              <w:t>3.基于新能源的污水处理材料及技术</w:t>
            </w:r>
          </w:p>
          <w:p>
            <w:pPr>
              <w:keepNext w:val="0"/>
              <w:keepLines w:val="0"/>
              <w:pageBreakBefore w:val="0"/>
              <w:widowControl w:val="0"/>
              <w:kinsoku/>
              <w:wordWrap/>
              <w:overflowPunct/>
              <w:topLinePunct w:val="0"/>
              <w:autoSpaceDE/>
              <w:autoSpaceDN/>
              <w:bidi w:val="0"/>
              <w:adjustRightInd/>
              <w:snapToGrid w:val="0"/>
              <w:spacing w:line="312" w:lineRule="auto"/>
              <w:textAlignment w:val="auto"/>
              <w:rPr>
                <w:rFonts w:hint="eastAsia" w:ascii="仿宋" w:hAnsi="仿宋" w:eastAsia="仿宋" w:cs="仿宋"/>
                <w:kern w:val="0"/>
                <w:sz w:val="28"/>
                <w:szCs w:val="28"/>
              </w:rPr>
            </w:pPr>
            <w:r>
              <w:rPr>
                <w:rFonts w:hint="eastAsia" w:ascii="仿宋" w:hAnsi="仿宋" w:eastAsia="仿宋" w:cs="仿宋"/>
                <w:kern w:val="0"/>
                <w:sz w:val="28"/>
                <w:szCs w:val="28"/>
              </w:rPr>
              <w:t>4.污水处理厂碳排放核算</w:t>
            </w:r>
          </w:p>
          <w:p>
            <w:pPr>
              <w:keepNext w:val="0"/>
              <w:keepLines w:val="0"/>
              <w:pageBreakBefore w:val="0"/>
              <w:widowControl w:val="0"/>
              <w:kinsoku/>
              <w:wordWrap/>
              <w:overflowPunct/>
              <w:topLinePunct w:val="0"/>
              <w:autoSpaceDE/>
              <w:autoSpaceDN/>
              <w:bidi w:val="0"/>
              <w:adjustRightInd/>
              <w:snapToGrid w:val="0"/>
              <w:spacing w:line="312" w:lineRule="auto"/>
              <w:textAlignment w:val="auto"/>
              <w:rPr>
                <w:rFonts w:ascii="仿宋" w:hAnsi="仿宋" w:eastAsia="仿宋" w:cs="仿宋"/>
                <w:kern w:val="0"/>
                <w:sz w:val="32"/>
                <w:szCs w:val="32"/>
              </w:rPr>
            </w:pPr>
            <w:r>
              <w:rPr>
                <w:rFonts w:hint="eastAsia" w:ascii="仿宋" w:hAnsi="仿宋" w:eastAsia="仿宋" w:cs="仿宋"/>
                <w:kern w:val="0"/>
                <w:sz w:val="28"/>
                <w:szCs w:val="28"/>
              </w:rPr>
              <w:t>5.降低有机废水处理CO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排放</w:t>
            </w:r>
            <w:r>
              <w:rPr>
                <w:rFonts w:hint="eastAsia" w:ascii="仿宋" w:hAnsi="仿宋" w:eastAsia="仿宋" w:cs="仿宋"/>
                <w:kern w:val="0"/>
                <w:sz w:val="28"/>
                <w:szCs w:val="28"/>
                <w:lang w:val="en-US" w:eastAsia="zh-CN"/>
              </w:rPr>
              <w:t>和</w:t>
            </w:r>
            <w:r>
              <w:rPr>
                <w:rFonts w:hint="eastAsia" w:ascii="仿宋" w:hAnsi="仿宋" w:eastAsia="仿宋" w:cs="仿宋"/>
                <w:kern w:val="0"/>
                <w:sz w:val="28"/>
                <w:szCs w:val="28"/>
              </w:rPr>
              <w:t>高效低碳的再生水工艺</w:t>
            </w:r>
          </w:p>
        </w:tc>
      </w:tr>
    </w:tbl>
    <w:p>
      <w:pPr>
        <w:rPr>
          <w:rFonts w:hint="eastAsia" w:ascii="仿宋" w:hAnsi="仿宋" w:eastAsia="仿宋" w:cs="仿宋_GB2312"/>
          <w:b/>
          <w:bCs/>
          <w:sz w:val="32"/>
          <w:szCs w:val="32"/>
        </w:rPr>
      </w:pPr>
      <w:r>
        <w:rPr>
          <w:rFonts w:hint="eastAsia" w:ascii="仿宋" w:hAnsi="仿宋" w:eastAsia="仿宋" w:cs="仿宋_GB2312"/>
          <w:b/>
          <w:bCs/>
          <w:sz w:val="32"/>
          <w:szCs w:val="32"/>
        </w:rPr>
        <w:br w:type="page"/>
      </w:r>
    </w:p>
    <w:p>
      <w:pPr>
        <w:snapToGrid w:val="0"/>
        <w:spacing w:line="580" w:lineRule="exact"/>
        <w:jc w:val="center"/>
        <w:rPr>
          <w:rFonts w:ascii="仿宋" w:hAnsi="仿宋" w:eastAsia="仿宋" w:cs="仿宋_GB2312"/>
          <w:b/>
          <w:bCs/>
          <w:sz w:val="32"/>
          <w:szCs w:val="32"/>
        </w:rPr>
      </w:pPr>
      <w:r>
        <w:rPr>
          <w:rFonts w:hint="eastAsia" w:ascii="仿宋" w:hAnsi="仿宋" w:eastAsia="仿宋" w:cs="仿宋_GB2312"/>
          <w:b/>
          <w:bCs/>
          <w:sz w:val="32"/>
          <w:szCs w:val="32"/>
        </w:rPr>
        <w:t>命题</w:t>
      </w:r>
      <w:r>
        <w:rPr>
          <w:rFonts w:ascii="仿宋" w:hAnsi="仿宋" w:eastAsia="仿宋" w:cs="仿宋_GB2312"/>
          <w:b/>
          <w:bCs/>
          <w:sz w:val="32"/>
          <w:szCs w:val="32"/>
        </w:rPr>
        <w:t>2</w:t>
      </w:r>
      <w:r>
        <w:rPr>
          <w:rFonts w:hint="eastAsia" w:ascii="仿宋" w:hAnsi="仿宋" w:eastAsia="仿宋" w:cs="仿宋_GB2312"/>
          <w:b/>
          <w:bCs/>
          <w:sz w:val="32"/>
          <w:szCs w:val="32"/>
        </w:rPr>
        <w:t>（赛道一：环境与绿色科技）</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color w:val="000000"/>
                <w:kern w:val="0"/>
                <w:sz w:val="32"/>
                <w:szCs w:val="32"/>
              </w:rPr>
            </w:pPr>
            <w:r>
              <w:rPr>
                <w:rFonts w:hint="eastAsia" w:ascii="仿宋" w:hAnsi="仿宋" w:eastAsia="仿宋" w:cs="仿宋"/>
                <w:b/>
                <w:bCs/>
                <w:kern w:val="0"/>
                <w:sz w:val="28"/>
                <w:szCs w:val="28"/>
              </w:rPr>
              <w:t>主题：土壤固碳增汇与农田减污降碳协同增效绿色治理技术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土壤碳库是陆地生态系统中最大的碳库，目前全球每年向大气排放的CO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约31%被土壤固持，若采取有效措施使全球土壤碳储量每年增加1%则将抵消大气排放62.5%。土壤既表现出巨大的固碳潜力，但也有可能从碳汇转变为碳源从而加剧碳排放，因此通过有效行动来增加土壤碳稳定性并实现大范围提升土壤碳储量，推进农业农村领域减排固碳助力“双碳”目标成为迫在眉睫的问题。目前土壤固碳增汇的主要途径包括技术固碳即碳捕集、利用和封存（CCUS），以及生态系统固碳，但有关科学机制和实用技术还需研究突破。另一方面，土壤重金属污染、农林业废弃物等农业环境问题也是制约我国农业绿色发展和乡村振兴的重要因素，农田污染防治和废弃物资源化利用</w:t>
            </w:r>
            <w:r>
              <w:rPr>
                <w:rFonts w:hint="eastAsia" w:ascii="仿宋" w:hAnsi="仿宋" w:eastAsia="仿宋" w:cs="仿宋"/>
                <w:kern w:val="0"/>
                <w:sz w:val="28"/>
                <w:szCs w:val="28"/>
                <w:lang w:eastAsia="zh-CN"/>
              </w:rPr>
              <w:t>备受关注</w:t>
            </w:r>
            <w:r>
              <w:rPr>
                <w:rFonts w:hint="eastAsia" w:ascii="仿宋" w:hAnsi="仿宋" w:eastAsia="仿宋" w:cs="仿宋"/>
                <w:kern w:val="0"/>
                <w:sz w:val="28"/>
                <w:szCs w:val="28"/>
              </w:rPr>
              <w:t>，但实践中仍存在不少困难和挑战，尤其是急需兼顾减污和降碳的绿色低碳治理技术。充分考虑生命周期评价（LCA）以及农业生态系统和土壤、植物、生物质炭等固碳功能，对上述问题提供了潜在解决方案。</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仿宋"/>
                <w:color w:val="000000"/>
                <w:kern w:val="0"/>
                <w:sz w:val="32"/>
                <w:szCs w:val="32"/>
              </w:rPr>
            </w:pPr>
            <w:r>
              <w:rPr>
                <w:rFonts w:hint="eastAsia" w:ascii="仿宋" w:hAnsi="仿宋" w:eastAsia="仿宋" w:cs="仿宋"/>
                <w:kern w:val="0"/>
                <w:sz w:val="28"/>
                <w:szCs w:val="28"/>
              </w:rPr>
              <w:t>拟通过本主题，合众之力，推动陆地生态系统土壤“固碳增汇”以及农林业废弃物资源化利用和重金属污染农田治理修复技术的创新发展，实现农业生态环境的“减污降碳”协同增效绿色治理，服务“双碳”目标、粮食安全、农业高质量发展和保障人民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lang w:val="zh-TW" w:eastAsia="zh-TW"/>
              </w:rPr>
            </w:pPr>
            <w:r>
              <w:rPr>
                <w:rFonts w:hint="eastAsia" w:ascii="仿宋" w:hAnsi="仿宋" w:eastAsia="仿宋" w:cs="仿宋"/>
                <w:b/>
                <w:bCs/>
                <w:kern w:val="0"/>
                <w:sz w:val="28"/>
                <w:szCs w:val="28"/>
                <w:lang w:val="zh-TW" w:eastAsia="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val="zh-TW" w:eastAsia="zh-TW"/>
              </w:rPr>
              <w:t>：</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1.陆地生态系统典型土壤的固碳增汇创新技术与有效措施</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2.农林业废弃物的生物质能源和炭化等资源再利用技术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3.高效率低成本全生命周期减污降碳农田绿色治理技术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left"/>
              <w:textAlignment w:val="auto"/>
              <w:rPr>
                <w:rFonts w:ascii="仿宋" w:hAnsi="仿宋" w:eastAsia="仿宋" w:cs="仿宋"/>
                <w:b/>
                <w:bCs/>
                <w:color w:val="000000"/>
                <w:kern w:val="0"/>
                <w:sz w:val="32"/>
                <w:szCs w:val="32"/>
              </w:rPr>
            </w:pPr>
            <w:r>
              <w:rPr>
                <w:rFonts w:hint="eastAsia" w:ascii="仿宋" w:hAnsi="仿宋" w:eastAsia="仿宋" w:cs="仿宋"/>
                <w:kern w:val="0"/>
                <w:sz w:val="28"/>
                <w:szCs w:val="28"/>
              </w:rPr>
              <w:t>4.重金属污染土壤的固碳植物修复技术</w:t>
            </w:r>
          </w:p>
        </w:tc>
      </w:tr>
    </w:tbl>
    <w:p>
      <w:pPr>
        <w:widowControl/>
        <w:jc w:val="left"/>
        <w:rPr>
          <w:rFonts w:ascii="仿宋" w:hAnsi="仿宋" w:eastAsia="仿宋" w:cs="仿宋_GB2312"/>
          <w:b/>
          <w:bCs/>
          <w:sz w:val="32"/>
          <w:szCs w:val="32"/>
        </w:rPr>
      </w:pPr>
    </w:p>
    <w:p>
      <w:pPr>
        <w:widowControl/>
        <w:jc w:val="left"/>
        <w:rPr>
          <w:rFonts w:ascii="仿宋" w:hAnsi="仿宋" w:eastAsia="仿宋" w:cs="仿宋_GB2312"/>
          <w:b/>
          <w:bCs/>
          <w:sz w:val="32"/>
          <w:szCs w:val="32"/>
        </w:rPr>
      </w:pPr>
      <w:r>
        <w:rPr>
          <w:rFonts w:ascii="仿宋" w:hAnsi="仿宋" w:eastAsia="仿宋" w:cs="仿宋_GB2312"/>
          <w:b/>
          <w:bCs/>
          <w:sz w:val="32"/>
          <w:szCs w:val="32"/>
        </w:rPr>
        <w:br w:type="page"/>
      </w:r>
    </w:p>
    <w:p>
      <w:pPr>
        <w:snapToGrid w:val="0"/>
        <w:spacing w:line="580" w:lineRule="exact"/>
        <w:jc w:val="center"/>
        <w:rPr>
          <w:rFonts w:ascii="仿宋" w:hAnsi="仿宋" w:eastAsia="仿宋" w:cs="仿宋_GB2312"/>
          <w:b/>
          <w:bCs/>
          <w:sz w:val="32"/>
          <w:szCs w:val="32"/>
        </w:rPr>
      </w:pPr>
      <w:r>
        <w:rPr>
          <w:rFonts w:hint="eastAsia" w:ascii="仿宋" w:hAnsi="仿宋" w:eastAsia="仿宋" w:cs="仿宋_GB2312"/>
          <w:b/>
          <w:bCs/>
          <w:sz w:val="32"/>
          <w:szCs w:val="32"/>
        </w:rPr>
        <w:t>命题</w:t>
      </w:r>
      <w:r>
        <w:rPr>
          <w:rFonts w:ascii="仿宋" w:hAnsi="仿宋" w:eastAsia="仿宋" w:cs="仿宋_GB2312"/>
          <w:b/>
          <w:bCs/>
          <w:sz w:val="32"/>
          <w:szCs w:val="32"/>
        </w:rPr>
        <w:t>3</w:t>
      </w:r>
      <w:r>
        <w:rPr>
          <w:rFonts w:hint="eastAsia" w:ascii="仿宋" w:hAnsi="仿宋" w:eastAsia="仿宋" w:cs="仿宋_GB2312"/>
          <w:b/>
          <w:bCs/>
          <w:sz w:val="32"/>
          <w:szCs w:val="32"/>
        </w:rPr>
        <w:t>（赛道一：环境与绿色科技）</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b/>
                <w:bCs/>
                <w:kern w:val="0"/>
                <w:sz w:val="32"/>
                <w:szCs w:val="32"/>
              </w:rPr>
            </w:pPr>
            <w:r>
              <w:rPr>
                <w:rFonts w:hint="eastAsia" w:ascii="仿宋" w:hAnsi="仿宋" w:eastAsia="仿宋" w:cs="仿宋"/>
                <w:b/>
                <w:bCs/>
                <w:kern w:val="0"/>
                <w:sz w:val="28"/>
                <w:szCs w:val="28"/>
              </w:rPr>
              <w:t>主题：工业领域减污降碳协同增效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9"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“十四五”时期，我国已进入了实现生态环境质量改善由量变到质变的关键阶段，是中国全面打赢污染防治攻坚战、实现生态环境质量持续改善的关键五年，也是助力我国实现2030年</w:t>
            </w:r>
            <w:r>
              <w:rPr>
                <w:rFonts w:hint="eastAsia" w:ascii="仿宋" w:hAnsi="仿宋" w:eastAsia="仿宋" w:cs="仿宋"/>
                <w:kern w:val="0"/>
                <w:sz w:val="28"/>
                <w:szCs w:val="28"/>
                <w:lang w:eastAsia="zh-CN"/>
              </w:rPr>
              <w:t>前</w:t>
            </w:r>
            <w:r>
              <w:rPr>
                <w:rFonts w:hint="eastAsia" w:ascii="仿宋" w:hAnsi="仿宋" w:eastAsia="仿宋" w:cs="仿宋"/>
                <w:kern w:val="0"/>
                <w:sz w:val="28"/>
                <w:szCs w:val="28"/>
              </w:rPr>
              <w:t>碳达峰和2060年</w:t>
            </w:r>
            <w:r>
              <w:rPr>
                <w:rFonts w:hint="eastAsia" w:ascii="仿宋" w:hAnsi="仿宋" w:eastAsia="仿宋" w:cs="仿宋"/>
                <w:kern w:val="0"/>
                <w:sz w:val="28"/>
                <w:szCs w:val="28"/>
                <w:lang w:eastAsia="zh-CN"/>
              </w:rPr>
              <w:t>前</w:t>
            </w:r>
            <w:r>
              <w:rPr>
                <w:rFonts w:hint="eastAsia" w:ascii="仿宋" w:hAnsi="仿宋" w:eastAsia="仿宋" w:cs="仿宋"/>
                <w:kern w:val="0"/>
                <w:sz w:val="28"/>
                <w:szCs w:val="28"/>
              </w:rPr>
              <w:t>碳中和的关键期。推进减污降碳协同增效，已成为取得环境治理效益与气候减缓效益双赢，继而推动全社会绿色可持续转型和低碳美丽中国建设的重要抓手。工业领域的各类污染物排放占比均为最高，污染物主要源于涉及能源燃烧的加热、冶炼、锻造等工艺过程，以及涉及煤炭、天然气等燃料燃烧的火力发电过程。能源生产消费过程同样也是二氧化碳等温室气体排放的主要来源。工业领域的污染物排放同温室气体排放在时间和空间维度都存在着较高的同根同源性。如何在不同工业行业中实现污染物同温室气体协同治理、协同管控，实现减污和降碳的双赢，是关系到实现我国的环境治理与双碳目标的关键问题。</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仿宋"/>
                <w:b/>
                <w:bCs/>
                <w:kern w:val="0"/>
                <w:sz w:val="32"/>
                <w:szCs w:val="32"/>
              </w:rPr>
            </w:pPr>
            <w:r>
              <w:rPr>
                <w:rFonts w:hint="eastAsia" w:ascii="仿宋" w:hAnsi="仿宋" w:eastAsia="仿宋" w:cs="仿宋"/>
                <w:kern w:val="0"/>
                <w:sz w:val="28"/>
                <w:szCs w:val="28"/>
              </w:rPr>
              <w:t>拟通过本主题，选择工业领域重点1</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2个行业开展，</w:t>
            </w:r>
            <w:r>
              <w:rPr>
                <w:rFonts w:hint="eastAsia" w:ascii="仿宋" w:hAnsi="仿宋" w:eastAsia="仿宋" w:cs="仿宋"/>
                <w:strike w:val="0"/>
                <w:kern w:val="0"/>
                <w:sz w:val="28"/>
                <w:szCs w:val="28"/>
              </w:rPr>
              <w:t>结合该工业领域典型污染物及其环境归趋特征</w:t>
            </w:r>
            <w:r>
              <w:rPr>
                <w:rFonts w:hint="eastAsia" w:ascii="仿宋" w:hAnsi="仿宋" w:eastAsia="仿宋" w:cs="仿宋"/>
                <w:kern w:val="0"/>
                <w:sz w:val="28"/>
                <w:szCs w:val="28"/>
              </w:rPr>
              <w:t>，结合智慧科技，强化环境污染治理与碳减排的措施协同，推动工业领域全流程绿色发展，助力绿色制造、清洁生产改造。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1"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val="zh-TW"/>
              </w:rPr>
              <w:t>：</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1.工业领域重点行业碳及污染物排放测算</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2.工业领域重点行业减污降碳协同增效方案设计</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3.工业领域重点行业减污降碳协同增效环境、气候及健康效益预测</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ascii="仿宋" w:hAnsi="仿宋" w:eastAsia="仿宋" w:cs="仿宋"/>
                <w:b/>
                <w:bCs/>
                <w:kern w:val="0"/>
                <w:sz w:val="32"/>
                <w:szCs w:val="32"/>
              </w:rPr>
            </w:pPr>
            <w:r>
              <w:rPr>
                <w:rFonts w:hint="eastAsia" w:ascii="仿宋" w:hAnsi="仿宋" w:eastAsia="仿宋" w:cs="仿宋"/>
                <w:kern w:val="0"/>
                <w:sz w:val="28"/>
                <w:szCs w:val="28"/>
              </w:rPr>
              <w:t>4.工业领域重点行业源头减污降碳的关键创新技术</w:t>
            </w:r>
          </w:p>
        </w:tc>
      </w:tr>
    </w:tbl>
    <w:p>
      <w:pPr>
        <w:widowControl/>
        <w:jc w:val="left"/>
        <w:rPr>
          <w:rFonts w:ascii="仿宋" w:hAnsi="仿宋" w:eastAsia="仿宋" w:cs="仿宋_GB2312"/>
          <w:b/>
          <w:bCs/>
          <w:sz w:val="32"/>
          <w:szCs w:val="32"/>
        </w:rPr>
      </w:pPr>
      <w:r>
        <w:rPr>
          <w:rFonts w:ascii="仿宋" w:hAnsi="仿宋" w:eastAsia="仿宋" w:cs="仿宋_GB2312"/>
          <w:b/>
          <w:bCs/>
          <w:sz w:val="32"/>
          <w:szCs w:val="32"/>
        </w:rPr>
        <w:br w:type="page"/>
      </w:r>
    </w:p>
    <w:p>
      <w:pPr>
        <w:snapToGrid w:val="0"/>
        <w:spacing w:before="120" w:beforeLines="50" w:after="120" w:afterLines="50" w:line="500" w:lineRule="exact"/>
        <w:jc w:val="center"/>
        <w:rPr>
          <w:rFonts w:ascii="仿宋" w:hAnsi="仿宋" w:eastAsia="仿宋" w:cs="仿宋_GB2312"/>
          <w:b/>
          <w:bCs/>
          <w:sz w:val="32"/>
          <w:szCs w:val="32"/>
        </w:rPr>
      </w:pPr>
      <w:r>
        <w:rPr>
          <w:rFonts w:hint="eastAsia" w:ascii="仿宋" w:hAnsi="仿宋" w:eastAsia="仿宋" w:cs="仿宋_GB2312"/>
          <w:b/>
          <w:bCs/>
          <w:sz w:val="32"/>
          <w:szCs w:val="32"/>
        </w:rPr>
        <w:t>命题</w:t>
      </w:r>
      <w:r>
        <w:rPr>
          <w:rFonts w:ascii="仿宋" w:hAnsi="仿宋" w:eastAsia="仿宋" w:cs="仿宋_GB2312"/>
          <w:b/>
          <w:bCs/>
          <w:sz w:val="32"/>
          <w:szCs w:val="32"/>
        </w:rPr>
        <w:t>4</w:t>
      </w:r>
      <w:r>
        <w:rPr>
          <w:rFonts w:hint="eastAsia" w:ascii="仿宋" w:hAnsi="仿宋" w:eastAsia="仿宋" w:cs="仿宋_GB2312"/>
          <w:b/>
          <w:bCs/>
          <w:sz w:val="32"/>
          <w:szCs w:val="32"/>
        </w:rPr>
        <w:t>（赛道二：新材料与新能源）</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b/>
                <w:bCs/>
                <w:color w:val="000000" w:themeColor="text1"/>
                <w:kern w:val="0"/>
                <w:sz w:val="32"/>
                <w:szCs w:val="32"/>
                <w14:textFill>
                  <w14:solidFill>
                    <w14:schemeClr w14:val="tx1"/>
                  </w14:solidFill>
                </w14:textFill>
              </w:rPr>
            </w:pPr>
            <w:r>
              <w:rPr>
                <w:rFonts w:hint="eastAsia" w:ascii="仿宋" w:hAnsi="仿宋" w:eastAsia="仿宋" w:cs="仿宋"/>
                <w:b/>
                <w:bCs/>
                <w:kern w:val="0"/>
                <w:sz w:val="28"/>
                <w:szCs w:val="28"/>
                <w:highlight w:val="none"/>
              </w:rPr>
              <w:t>主题：金属资源的回收及循环利用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9"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金、铜等</w:t>
            </w:r>
            <w:r>
              <w:rPr>
                <w:rFonts w:hint="eastAsia" w:ascii="仿宋" w:hAnsi="仿宋" w:eastAsia="仿宋" w:cs="仿宋"/>
                <w:kern w:val="0"/>
                <w:sz w:val="28"/>
                <w:szCs w:val="28"/>
                <w:lang w:val="en-US" w:eastAsia="zh-CN"/>
              </w:rPr>
              <w:t>金属</w:t>
            </w:r>
            <w:r>
              <w:rPr>
                <w:rFonts w:hint="eastAsia" w:ascii="仿宋" w:hAnsi="仿宋" w:eastAsia="仿宋" w:cs="仿宋"/>
                <w:kern w:val="0"/>
                <w:sz w:val="28"/>
                <w:szCs w:val="28"/>
              </w:rPr>
              <w:t>在电子工业、化工等领域有不可替代的作用。清洁能源技术依赖锂、镍、锰、铜以及稀土金属。通过传统的矿石开采和冶炼获取这些金属资源具有能耗高，污染大等缺点。另外，金属是不可再生资源，人类对其持续增长的需求亟待开发可持续的资源获取技术。</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随着电子产品消费规模的不断扩大和更新换代速度的加快，电子垃圾已成为全球可持续发展的重大挑战之一。以锂、钴、镍、稀土、碲、铟、镓等为代表的清洁能源关键矿产是指对国家清洁能源产业和低碳经济发展的核心技术与环节至关重要、对绿色战略新兴产业发展不可或缺，同时又存在供应风险的矿产资源</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因此，回收金、铜</w:t>
            </w:r>
            <w:r>
              <w:rPr>
                <w:rFonts w:hint="eastAsia" w:ascii="仿宋" w:hAnsi="仿宋" w:eastAsia="仿宋" w:cs="仿宋"/>
                <w:kern w:val="0"/>
                <w:sz w:val="28"/>
                <w:szCs w:val="28"/>
                <w:lang w:eastAsia="zh-CN"/>
              </w:rPr>
              <w:t>、</w:t>
            </w:r>
            <w:r>
              <w:rPr>
                <w:rFonts w:hint="eastAsia" w:ascii="仿宋" w:hAnsi="仿宋" w:eastAsia="仿宋" w:cs="仿宋"/>
                <w:kern w:val="0"/>
                <w:sz w:val="28"/>
                <w:szCs w:val="28"/>
                <w:lang w:val="en-US" w:eastAsia="zh-CN"/>
              </w:rPr>
              <w:t>清洁能源关键金属</w:t>
            </w:r>
            <w:r>
              <w:rPr>
                <w:rFonts w:hint="eastAsia" w:ascii="仿宋" w:hAnsi="仿宋" w:eastAsia="仿宋" w:cs="仿宋"/>
                <w:kern w:val="0"/>
                <w:sz w:val="28"/>
                <w:szCs w:val="28"/>
              </w:rPr>
              <w:t>等资源，可以将污染难题转化为经济效益，</w:t>
            </w:r>
            <w:r>
              <w:rPr>
                <w:rFonts w:hint="eastAsia" w:ascii="仿宋" w:hAnsi="仿宋" w:eastAsia="仿宋" w:cs="仿宋"/>
                <w:kern w:val="0"/>
                <w:sz w:val="28"/>
                <w:szCs w:val="28"/>
                <w:lang w:val="en-US" w:eastAsia="zh-CN"/>
              </w:rPr>
              <w:t>推动国家绿色清洁能源发展，</w:t>
            </w:r>
            <w:r>
              <w:rPr>
                <w:rFonts w:hint="eastAsia" w:ascii="仿宋" w:hAnsi="仿宋" w:eastAsia="仿宋" w:cs="仿宋"/>
                <w:kern w:val="0"/>
                <w:sz w:val="28"/>
                <w:szCs w:val="28"/>
              </w:rPr>
              <w:t>不仅对国民健康和环境安全意义重大，而且是实现“双碳”目标和构建循环经济体系的有效途径。</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仿宋"/>
                <w:b/>
                <w:bCs/>
                <w:color w:val="000000" w:themeColor="text1"/>
                <w:kern w:val="0"/>
                <w:sz w:val="32"/>
                <w:szCs w:val="32"/>
                <w14:textFill>
                  <w14:solidFill>
                    <w14:schemeClr w14:val="tx1"/>
                  </w14:solidFill>
                </w14:textFill>
              </w:rPr>
            </w:pPr>
            <w:r>
              <w:rPr>
                <w:rFonts w:hint="eastAsia" w:ascii="仿宋" w:hAnsi="仿宋" w:eastAsia="仿宋" w:cs="仿宋"/>
                <w:kern w:val="0"/>
                <w:sz w:val="28"/>
                <w:szCs w:val="28"/>
              </w:rPr>
              <w:t>本命题以“以实现</w:t>
            </w:r>
            <w:r>
              <w:rPr>
                <w:rFonts w:hint="eastAsia" w:ascii="仿宋" w:hAnsi="仿宋" w:eastAsia="仿宋" w:cs="仿宋"/>
                <w:kern w:val="0"/>
                <w:sz w:val="28"/>
                <w:szCs w:val="28"/>
                <w:lang w:val="en-US" w:eastAsia="zh-CN"/>
              </w:rPr>
              <w:t>金属</w:t>
            </w:r>
            <w:r>
              <w:rPr>
                <w:rFonts w:hint="eastAsia" w:ascii="仿宋" w:hAnsi="仿宋" w:eastAsia="仿宋" w:cs="仿宋"/>
                <w:kern w:val="0"/>
                <w:sz w:val="28"/>
                <w:szCs w:val="28"/>
              </w:rPr>
              <w:t>资源的回收及循环利用”为目标，通过本主题内容的创新创意，探索资源回收再利用及低碳可持续发展的新思路和新技术方法。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val="zh-TW"/>
              </w:rPr>
              <w:t>：</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default" w:ascii="仿宋" w:hAnsi="仿宋" w:eastAsia="仿宋" w:cs="仿宋"/>
                <w:kern w:val="0"/>
                <w:sz w:val="28"/>
                <w:szCs w:val="28"/>
                <w:lang w:val="en-US" w:eastAsia="zh-CN"/>
              </w:rPr>
            </w:pPr>
            <w:r>
              <w:rPr>
                <w:rFonts w:hint="eastAsia" w:ascii="仿宋" w:hAnsi="仿宋" w:eastAsia="仿宋" w:cs="仿宋"/>
                <w:kern w:val="0"/>
                <w:sz w:val="28"/>
                <w:szCs w:val="28"/>
              </w:rPr>
              <w:t>1.电子垃圾回收</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2.无氰化贵金属溶解技术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3.贵金属吸附及提取技术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4.</w:t>
            </w:r>
            <w:r>
              <w:rPr>
                <w:rFonts w:hint="eastAsia" w:ascii="仿宋" w:hAnsi="仿宋" w:eastAsia="仿宋" w:cs="仿宋"/>
                <w:kern w:val="0"/>
                <w:sz w:val="28"/>
                <w:szCs w:val="28"/>
                <w:lang w:eastAsia="zh-CN"/>
              </w:rPr>
              <w:t>风能、太阳能</w:t>
            </w:r>
            <w:r>
              <w:rPr>
                <w:rFonts w:hint="eastAsia" w:ascii="仿宋" w:hAnsi="仿宋" w:eastAsia="仿宋" w:cs="仿宋"/>
                <w:kern w:val="0"/>
                <w:sz w:val="28"/>
                <w:szCs w:val="28"/>
                <w:lang w:val="en-US" w:eastAsia="zh-CN"/>
              </w:rPr>
              <w:t>等清洁能源</w:t>
            </w:r>
            <w:r>
              <w:rPr>
                <w:rFonts w:hint="eastAsia" w:ascii="仿宋" w:hAnsi="仿宋" w:eastAsia="仿宋" w:cs="仿宋"/>
                <w:kern w:val="0"/>
                <w:sz w:val="28"/>
                <w:szCs w:val="28"/>
                <w:lang w:eastAsia="zh-CN"/>
              </w:rPr>
              <w:t>生产</w:t>
            </w:r>
            <w:r>
              <w:rPr>
                <w:rFonts w:hint="eastAsia" w:ascii="仿宋" w:hAnsi="仿宋" w:eastAsia="仿宋" w:cs="仿宋"/>
                <w:kern w:val="0"/>
                <w:sz w:val="28"/>
                <w:szCs w:val="28"/>
                <w:lang w:val="en-US" w:eastAsia="zh-CN"/>
              </w:rPr>
              <w:t>中</w:t>
            </w:r>
            <w:r>
              <w:rPr>
                <w:rFonts w:hint="eastAsia" w:ascii="仿宋" w:hAnsi="仿宋" w:eastAsia="仿宋" w:cs="仿宋"/>
                <w:kern w:val="0"/>
                <w:sz w:val="28"/>
                <w:szCs w:val="28"/>
                <w:lang w:eastAsia="zh-CN"/>
              </w:rPr>
              <w:t>的关键稀有金属、</w:t>
            </w:r>
            <w:r>
              <w:rPr>
                <w:rFonts w:hint="eastAsia" w:ascii="仿宋" w:hAnsi="仿宋" w:eastAsia="仿宋" w:cs="仿宋"/>
                <w:kern w:val="0"/>
                <w:sz w:val="28"/>
                <w:szCs w:val="28"/>
                <w:lang w:val="en-US" w:eastAsia="zh-CN"/>
              </w:rPr>
              <w:t>对环境有害金属等</w:t>
            </w:r>
            <w:r>
              <w:rPr>
                <w:rFonts w:hint="eastAsia" w:ascii="仿宋" w:hAnsi="仿宋" w:eastAsia="仿宋" w:cs="仿宋"/>
                <w:kern w:val="0"/>
                <w:sz w:val="28"/>
                <w:szCs w:val="28"/>
              </w:rPr>
              <w:t>再提取与利用</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default" w:ascii="仿宋" w:hAnsi="仿宋" w:eastAsia="仿宋" w:cs="仿宋"/>
                <w:kern w:val="0"/>
                <w:sz w:val="32"/>
                <w:szCs w:val="32"/>
                <w:lang w:val="en-US" w:eastAsia="zh-CN"/>
              </w:rPr>
            </w:pPr>
            <w:r>
              <w:rPr>
                <w:rFonts w:hint="eastAsia" w:ascii="仿宋" w:hAnsi="仿宋" w:eastAsia="仿宋" w:cs="仿宋"/>
                <w:kern w:val="0"/>
                <w:sz w:val="28"/>
                <w:szCs w:val="28"/>
                <w:lang w:val="en-US" w:eastAsia="zh-CN"/>
              </w:rPr>
              <w:t>5.回收成本估算</w:t>
            </w:r>
          </w:p>
        </w:tc>
      </w:tr>
    </w:tbl>
    <w:p>
      <w:pPr>
        <w:rPr>
          <w:rFonts w:hint="eastAsia" w:ascii="仿宋" w:hAnsi="仿宋" w:eastAsia="仿宋" w:cs="仿宋_GB2312"/>
          <w:b/>
          <w:bCs/>
          <w:sz w:val="32"/>
          <w:szCs w:val="32"/>
        </w:rPr>
      </w:pPr>
      <w:r>
        <w:rPr>
          <w:rFonts w:hint="eastAsia" w:ascii="仿宋" w:hAnsi="仿宋" w:eastAsia="仿宋" w:cs="仿宋_GB2312"/>
          <w:b/>
          <w:bCs/>
          <w:sz w:val="32"/>
          <w:szCs w:val="32"/>
        </w:rPr>
        <w:br w:type="page"/>
      </w:r>
    </w:p>
    <w:p>
      <w:pPr>
        <w:snapToGrid w:val="0"/>
        <w:spacing w:before="120" w:beforeLines="50" w:after="120" w:afterLines="50" w:line="500" w:lineRule="exact"/>
        <w:jc w:val="center"/>
        <w:rPr>
          <w:rFonts w:ascii="仿宋" w:hAnsi="仿宋" w:eastAsia="仿宋" w:cs="仿宋_GB2312"/>
          <w:b/>
          <w:bCs/>
          <w:sz w:val="32"/>
          <w:szCs w:val="32"/>
        </w:rPr>
      </w:pPr>
      <w:r>
        <w:rPr>
          <w:rFonts w:hint="eastAsia" w:ascii="仿宋" w:hAnsi="仿宋" w:eastAsia="仿宋" w:cs="仿宋_GB2312"/>
          <w:b/>
          <w:bCs/>
          <w:sz w:val="32"/>
          <w:szCs w:val="32"/>
        </w:rPr>
        <w:t>命题</w:t>
      </w:r>
      <w:r>
        <w:rPr>
          <w:rFonts w:ascii="仿宋" w:hAnsi="仿宋" w:eastAsia="仿宋" w:cs="仿宋_GB2312"/>
          <w:b/>
          <w:bCs/>
          <w:sz w:val="32"/>
          <w:szCs w:val="32"/>
        </w:rPr>
        <w:t>5</w:t>
      </w:r>
      <w:r>
        <w:rPr>
          <w:rFonts w:hint="eastAsia" w:ascii="仿宋" w:hAnsi="仿宋" w:eastAsia="仿宋" w:cs="仿宋_GB2312"/>
          <w:b/>
          <w:bCs/>
          <w:sz w:val="32"/>
          <w:szCs w:val="32"/>
        </w:rPr>
        <w:t>（赛道二：新材料与新能源）</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b/>
                <w:bCs/>
                <w:kern w:val="0"/>
                <w:sz w:val="32"/>
                <w:szCs w:val="32"/>
              </w:rPr>
            </w:pPr>
            <w:r>
              <w:rPr>
                <w:rFonts w:hint="eastAsia" w:ascii="仿宋" w:hAnsi="仿宋" w:eastAsia="仿宋" w:cs="仿宋"/>
                <w:b/>
                <w:bCs/>
                <w:kern w:val="0"/>
                <w:sz w:val="28"/>
                <w:szCs w:val="28"/>
              </w:rPr>
              <w:t>主题：油气资源开发耦合碳捕集封存创新技术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6"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海洋被誉为“蓝色国土”，蕴藏着丰富的油气资源，海上油气生产已经成为重要的能源增长极。但受到海洋开发开采设施特殊性的制约，生产开发的全过程存在能源消费过度与碳排放量大的现象。二氧化碳捕集、利用与封存（CCUS）被认为是未来大规模减少温室气体排放、减缓全球变暖最经济、可行的方法。旨</w:t>
            </w:r>
            <w:r>
              <w:rPr>
                <w:rFonts w:hint="eastAsia" w:ascii="仿宋" w:hAnsi="仿宋" w:eastAsia="仿宋" w:cs="仿宋"/>
                <w:kern w:val="0"/>
                <w:sz w:val="28"/>
                <w:szCs w:val="28"/>
                <w:lang w:eastAsia="zh-CN"/>
              </w:rPr>
              <w:t>在</w:t>
            </w:r>
            <w:r>
              <w:rPr>
                <w:rFonts w:hint="eastAsia" w:ascii="仿宋" w:hAnsi="仿宋" w:eastAsia="仿宋" w:cs="仿宋"/>
                <w:kern w:val="0"/>
                <w:sz w:val="28"/>
                <w:szCs w:val="28"/>
              </w:rPr>
              <w:t>将生产过程中排放的二氧化碳进行捕集，并投入新的生产过程中实现循环再利用与稳定封存。该技术目的之一是利用二氧化碳与地层石油混相融合降低原油的黏度和界面张力进行油气开采增产。同时，海底环境中二氧化碳多相态（超临界态、水合物态等）比海水溶解态具有更好的稳定性。由此既可以提升油气采收率和产量，将二氧化碳变“废”为“宝”，又可以将二氧化碳封存，实现“一举两得”，对我国海洋油气开发低碳转型和海洋环境保护具有重要意义。为贯彻落实习总书记“四个革命、一个合作”能源安全新战略、建设海洋强国战略以及“双碳”目标，聚焦油气资源开发前沿领域和低碳技术关键瓶颈，加强技术攻关。</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b/>
                <w:bCs/>
                <w:kern w:val="0"/>
                <w:sz w:val="32"/>
                <w:szCs w:val="32"/>
                <w:lang w:eastAsia="zh-CN"/>
              </w:rPr>
            </w:pPr>
            <w:r>
              <w:rPr>
                <w:rFonts w:hint="eastAsia" w:ascii="仿宋" w:hAnsi="仿宋" w:eastAsia="仿宋" w:cs="仿宋"/>
                <w:kern w:val="0"/>
                <w:sz w:val="28"/>
                <w:szCs w:val="28"/>
              </w:rPr>
              <w:t>请针对</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但不限于</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以下</w:t>
            </w:r>
            <w:r>
              <w:rPr>
                <w:rFonts w:hint="eastAsia" w:ascii="仿宋" w:hAnsi="仿宋" w:eastAsia="仿宋" w:cs="仿宋"/>
                <w:kern w:val="0"/>
                <w:sz w:val="28"/>
                <w:szCs w:val="28"/>
                <w:lang w:val="en-US" w:eastAsia="zh-CN"/>
              </w:rPr>
              <w:t>关注</w:t>
            </w:r>
            <w:r>
              <w:rPr>
                <w:rFonts w:hint="eastAsia" w:ascii="仿宋" w:hAnsi="仿宋" w:eastAsia="仿宋" w:cs="仿宋"/>
                <w:kern w:val="0"/>
                <w:sz w:val="28"/>
                <w:szCs w:val="28"/>
              </w:rPr>
              <w:t>方面提出富有创造力、竞争力与说服力的创新设计解决方案或技术</w:t>
            </w:r>
            <w:r>
              <w:rPr>
                <w:rFonts w:hint="eastAsia" w:ascii="仿宋" w:hAnsi="仿宋" w:eastAsia="仿宋" w:cs="仿宋"/>
                <w:kern w:val="0"/>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eastAsia="zh-CN"/>
              </w:rPr>
              <w:t>（</w:t>
            </w:r>
            <w:r>
              <w:rPr>
                <w:rFonts w:hint="eastAsia" w:ascii="仿宋" w:hAnsi="仿宋" w:eastAsia="仿宋" w:cs="仿宋"/>
                <w:b/>
                <w:bCs/>
                <w:kern w:val="0"/>
                <w:sz w:val="28"/>
                <w:szCs w:val="28"/>
                <w:lang w:val="en-US" w:eastAsia="zh-CN"/>
              </w:rPr>
              <w:t>均需考虑碳排核算和能源利用</w:t>
            </w:r>
            <w:r>
              <w:rPr>
                <w:rFonts w:hint="eastAsia" w:ascii="仿宋" w:hAnsi="仿宋" w:eastAsia="仿宋" w:cs="仿宋"/>
                <w:b/>
                <w:bCs/>
                <w:kern w:val="0"/>
                <w:sz w:val="28"/>
                <w:szCs w:val="28"/>
                <w:lang w:eastAsia="zh-CN"/>
              </w:rPr>
              <w:t>）</w:t>
            </w:r>
            <w:r>
              <w:rPr>
                <w:rFonts w:hint="eastAsia" w:ascii="仿宋" w:hAnsi="仿宋" w:eastAsia="仿宋" w:cs="仿宋"/>
                <w:b/>
                <w:bCs/>
                <w:kern w:val="0"/>
                <w:sz w:val="28"/>
                <w:szCs w:val="28"/>
                <w:lang w:val="zh-TW"/>
              </w:rPr>
              <w:t>：</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1.海洋油气资源高效开发与利用技术或装备</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2.海洋碳捕集、碳封存、海洋增汇新技术或装备</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3.海底二氧化碳长期稳定封存验证技术或装备</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4.基于二氧化碳捕集与封存的海洋环境监测与评估技术</w:t>
            </w:r>
          </w:p>
          <w:p>
            <w:pPr>
              <w:keepNext w:val="0"/>
              <w:keepLines w:val="0"/>
              <w:pageBreakBefore w:val="0"/>
              <w:widowControl w:val="0"/>
              <w:kinsoku/>
              <w:wordWrap/>
              <w:overflowPunct/>
              <w:topLinePunct w:val="0"/>
              <w:autoSpaceDE/>
              <w:autoSpaceDN/>
              <w:bidi w:val="0"/>
              <w:adjustRightInd/>
              <w:ind w:firstLine="0" w:firstLineChars="0"/>
              <w:textAlignment w:val="auto"/>
              <w:rPr>
                <w:rFonts w:ascii="仿宋" w:hAnsi="仿宋" w:eastAsia="仿宋" w:cs="仿宋"/>
                <w:b/>
                <w:bCs/>
                <w:kern w:val="0"/>
                <w:sz w:val="32"/>
                <w:szCs w:val="32"/>
              </w:rPr>
            </w:pPr>
            <w:r>
              <w:rPr>
                <w:rFonts w:hint="eastAsia" w:ascii="仿宋" w:hAnsi="仿宋" w:eastAsia="仿宋" w:cs="仿宋"/>
                <w:kern w:val="0"/>
                <w:sz w:val="28"/>
                <w:szCs w:val="28"/>
              </w:rPr>
              <w:t>5.碳捕集与碳封存技术生命周期评估（能耗及</w:t>
            </w:r>
            <w:r>
              <w:rPr>
                <w:rFonts w:hint="eastAsia" w:ascii="仿宋" w:hAnsi="仿宋" w:eastAsia="仿宋" w:cs="仿宋"/>
                <w:kern w:val="0"/>
                <w:sz w:val="28"/>
                <w:szCs w:val="28"/>
                <w:lang w:val="en-AU"/>
              </w:rPr>
              <w:t>泄露</w:t>
            </w:r>
            <w:r>
              <w:rPr>
                <w:rFonts w:hint="eastAsia" w:ascii="仿宋" w:hAnsi="仿宋" w:eastAsia="仿宋" w:cs="仿宋"/>
                <w:kern w:val="0"/>
                <w:sz w:val="28"/>
                <w:szCs w:val="28"/>
              </w:rPr>
              <w:t>风险等）</w:t>
            </w:r>
          </w:p>
        </w:tc>
      </w:tr>
    </w:tbl>
    <w:p>
      <w:pPr>
        <w:rPr>
          <w:rFonts w:ascii="仿宋" w:hAnsi="仿宋" w:eastAsia="仿宋" w:cs="仿宋_GB2312"/>
          <w:sz w:val="32"/>
          <w:szCs w:val="32"/>
        </w:rPr>
      </w:pPr>
    </w:p>
    <w:p>
      <w:pPr>
        <w:snapToGrid w:val="0"/>
        <w:spacing w:before="120" w:beforeLines="50" w:after="120" w:afterLines="50" w:line="500" w:lineRule="exact"/>
        <w:jc w:val="center"/>
        <w:rPr>
          <w:rFonts w:ascii="仿宋" w:hAnsi="仿宋" w:eastAsia="仿宋" w:cs="仿宋_GB2312"/>
          <w:b/>
          <w:bCs/>
          <w:sz w:val="32"/>
          <w:szCs w:val="32"/>
        </w:rPr>
      </w:pPr>
      <w:r>
        <w:rPr>
          <w:rFonts w:hint="eastAsia" w:ascii="仿宋" w:hAnsi="仿宋" w:eastAsia="仿宋" w:cs="仿宋_GB2312"/>
          <w:b/>
          <w:bCs/>
          <w:sz w:val="32"/>
          <w:szCs w:val="32"/>
        </w:rPr>
        <w:br w:type="page"/>
      </w:r>
      <w:r>
        <w:rPr>
          <w:rFonts w:hint="eastAsia" w:ascii="仿宋" w:hAnsi="仿宋" w:eastAsia="仿宋" w:cs="仿宋_GB2312"/>
          <w:b/>
          <w:bCs/>
          <w:sz w:val="32"/>
          <w:szCs w:val="32"/>
        </w:rPr>
        <w:t>命题</w:t>
      </w:r>
      <w:r>
        <w:rPr>
          <w:rFonts w:ascii="仿宋" w:hAnsi="仿宋" w:eastAsia="仿宋" w:cs="仿宋_GB2312"/>
          <w:b/>
          <w:bCs/>
          <w:sz w:val="32"/>
          <w:szCs w:val="32"/>
        </w:rPr>
        <w:t>6</w:t>
      </w:r>
      <w:r>
        <w:rPr>
          <w:rFonts w:hint="eastAsia" w:ascii="仿宋" w:hAnsi="仿宋" w:eastAsia="仿宋" w:cs="仿宋_GB2312"/>
          <w:b/>
          <w:bCs/>
          <w:sz w:val="32"/>
          <w:szCs w:val="32"/>
        </w:rPr>
        <w:t>（赛道二：新材料与新能源）</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b/>
                <w:bCs/>
                <w:kern w:val="0"/>
                <w:sz w:val="32"/>
                <w:szCs w:val="32"/>
              </w:rPr>
            </w:pPr>
            <w:r>
              <w:rPr>
                <w:rFonts w:hint="eastAsia" w:ascii="仿宋" w:hAnsi="仿宋" w:eastAsia="仿宋" w:cs="仿宋"/>
                <w:b/>
                <w:bCs/>
                <w:kern w:val="0"/>
                <w:sz w:val="28"/>
                <w:szCs w:val="28"/>
                <w:lang w:val="zh-TW"/>
              </w:rPr>
              <w:t>主题：绿色氢能的高效低成本获取与利用技术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480" w:firstLineChars="200"/>
              <w:textAlignment w:val="auto"/>
              <w:rPr>
                <w:rFonts w:hint="eastAsia" w:ascii="仿宋" w:hAnsi="仿宋" w:eastAsia="仿宋" w:cs="仿宋"/>
                <w:kern w:val="0"/>
                <w:sz w:val="24"/>
                <w:szCs w:val="24"/>
              </w:rPr>
            </w:pPr>
            <w:r>
              <w:rPr>
                <w:rFonts w:hint="eastAsia" w:ascii="仿宋" w:hAnsi="仿宋" w:eastAsia="仿宋" w:cs="仿宋"/>
                <w:kern w:val="0"/>
                <w:sz w:val="24"/>
                <w:szCs w:val="24"/>
              </w:rPr>
              <w:t>氢能作为一种零碳能源体系是构建现代清洁能源体系的重要组成部分，在践行“双碳”目标这一历史使命中承担着重要作用。目前，我国氢能产业发展势头强劲，但仍面临成本高、储运难和效率低等问题。为实现“双碳”目标，我国氢气年需求量将大幅增加。然而，目前全球制氢结构仍以天然气制备的灰氢和蓝氢为主，以可再生能源制取的绿色氢能占比还很小。长期来看，利用太阳能和风能等可再生能源电解水制取绿氢、同时实现可再生能源的存储是终极目标。近年来我国在风/光制氢领域发展迅速，大批示范项目已陆续开展，但太阳能和风能需要电池存储计算</w:t>
            </w:r>
            <w:r>
              <w:rPr>
                <w:rFonts w:hint="eastAsia" w:ascii="仿宋" w:hAnsi="仿宋" w:eastAsia="仿宋" w:cs="仿宋"/>
                <w:kern w:val="0"/>
                <w:sz w:val="24"/>
                <w:szCs w:val="24"/>
                <w:lang w:eastAsia="zh-CN"/>
              </w:rPr>
              <w:t>，</w:t>
            </w:r>
            <w:r>
              <w:rPr>
                <w:rFonts w:hint="eastAsia" w:ascii="仿宋" w:hAnsi="仿宋" w:eastAsia="仿宋" w:cs="仿宋"/>
                <w:kern w:val="0"/>
                <w:sz w:val="24"/>
                <w:szCs w:val="24"/>
              </w:rPr>
              <w:t>依然面临着效率低或成本高等巨大挑战，急需发展核心的关键技术和新材料。</w:t>
            </w:r>
          </w:p>
          <w:p>
            <w:pPr>
              <w:keepNext w:val="0"/>
              <w:keepLines w:val="0"/>
              <w:pageBreakBefore w:val="0"/>
              <w:widowControl w:val="0"/>
              <w:kinsoku/>
              <w:wordWrap/>
              <w:overflowPunct/>
              <w:topLinePunct w:val="0"/>
              <w:autoSpaceDE/>
              <w:autoSpaceDN/>
              <w:bidi w:val="0"/>
              <w:adjustRightInd/>
              <w:snapToGrid w:val="0"/>
              <w:spacing w:line="312" w:lineRule="auto"/>
              <w:ind w:firstLine="480" w:firstLineChars="200"/>
              <w:textAlignment w:val="auto"/>
              <w:rPr>
                <w:rFonts w:ascii="仿宋" w:hAnsi="仿宋" w:eastAsia="仿宋" w:cs="仿宋"/>
                <w:kern w:val="0"/>
                <w:sz w:val="32"/>
                <w:szCs w:val="32"/>
              </w:rPr>
            </w:pPr>
            <w:r>
              <w:rPr>
                <w:rFonts w:hint="eastAsia" w:ascii="仿宋" w:hAnsi="仿宋" w:eastAsia="仿宋" w:cs="仿宋"/>
                <w:kern w:val="0"/>
                <w:sz w:val="24"/>
                <w:szCs w:val="24"/>
              </w:rPr>
              <w:t>在氢能的利用端，氢能兼具燃料、储能、化工原料等多种属性，在电力、交通、建筑、化工等多个行业具有广阔的应用空间。但是，由于氢能的储运技术不成熟，目前氢能的应用以就近消纳为主，多局限于传统化工生产领域。发展氢电双向转换及储能一体化技术对氢能多应用场景的推广具有重要意义。而作为氢能在交通领域应用的核心环节，氢燃料电池的成本和寿命一直是规模化应用</w:t>
            </w:r>
            <w:r>
              <w:rPr>
                <w:rFonts w:hint="eastAsia" w:ascii="仿宋" w:hAnsi="仿宋" w:eastAsia="仿宋" w:cs="仿宋"/>
                <w:kern w:val="0"/>
                <w:sz w:val="24"/>
                <w:szCs w:val="24"/>
                <w:lang w:eastAsia="zh-CN"/>
              </w:rPr>
              <w:t>的</w:t>
            </w:r>
            <w:r>
              <w:rPr>
                <w:rFonts w:hint="eastAsia" w:ascii="仿宋" w:hAnsi="仿宋" w:eastAsia="仿宋" w:cs="仿宋"/>
                <w:kern w:val="0"/>
                <w:sz w:val="24"/>
                <w:szCs w:val="24"/>
              </w:rPr>
              <w:t>最大掣肘。由于目前商业化的质子交换膜燃料电池基本上是使用基于铂金的催化剂，贵重金属的使用加上质子交换膜、双极板等高成本的关键材料，使得在目前规模化效应相对比较低的情况下整个燃料电池的成本非常高。如何降低燃料电池的成本、同时实现长的使用寿命和宽的环境适应性，是推动燃料电池产业化的重要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6"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关注方向</w:t>
            </w:r>
            <w:r>
              <w:rPr>
                <w:rFonts w:hint="eastAsia" w:ascii="仿宋" w:hAnsi="仿宋" w:eastAsia="仿宋" w:cs="仿宋"/>
                <w:b/>
                <w:bCs/>
                <w:kern w:val="0"/>
                <w:sz w:val="28"/>
                <w:szCs w:val="28"/>
                <w:lang w:eastAsia="zh-CN"/>
              </w:rPr>
              <w:t>（</w:t>
            </w:r>
            <w:r>
              <w:rPr>
                <w:rFonts w:hint="eastAsia" w:ascii="仿宋" w:hAnsi="仿宋" w:eastAsia="仿宋" w:cs="仿宋"/>
                <w:b/>
                <w:bCs/>
                <w:kern w:val="0"/>
                <w:sz w:val="28"/>
                <w:szCs w:val="28"/>
                <w:lang w:val="en-US" w:eastAsia="zh-CN"/>
              </w:rPr>
              <w:t>均需考虑碳排核算和能源利用</w:t>
            </w:r>
            <w:r>
              <w:rPr>
                <w:rFonts w:hint="eastAsia" w:ascii="仿宋" w:hAnsi="仿宋" w:eastAsia="仿宋" w:cs="仿宋"/>
                <w:b/>
                <w:bCs/>
                <w:kern w:val="0"/>
                <w:sz w:val="28"/>
                <w:szCs w:val="28"/>
                <w:lang w:eastAsia="zh-CN"/>
              </w:rPr>
              <w:t>）</w:t>
            </w:r>
            <w:r>
              <w:rPr>
                <w:rFonts w:hint="eastAsia" w:ascii="仿宋" w:hAnsi="仿宋" w:eastAsia="仿宋" w:cs="仿宋"/>
                <w:b/>
                <w:bCs/>
                <w:kern w:val="0"/>
                <w:sz w:val="28"/>
                <w:szCs w:val="28"/>
                <w:lang w:val="zh-TW"/>
              </w:rPr>
              <w:t>：</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4"/>
                <w:szCs w:val="24"/>
              </w:rPr>
            </w:pPr>
            <w:r>
              <w:rPr>
                <w:rFonts w:hint="eastAsia" w:ascii="仿宋" w:hAnsi="仿宋" w:eastAsia="仿宋" w:cs="仿宋"/>
                <w:kern w:val="0"/>
                <w:sz w:val="24"/>
                <w:szCs w:val="24"/>
              </w:rPr>
              <w:t>1.利用可再生能源获取绿色氢能的新技术和新材料</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4"/>
                <w:szCs w:val="24"/>
              </w:rPr>
            </w:pPr>
            <w:r>
              <w:rPr>
                <w:rFonts w:hint="eastAsia" w:ascii="仿宋" w:hAnsi="仿宋" w:eastAsia="仿宋" w:cs="仿宋"/>
                <w:kern w:val="0"/>
                <w:sz w:val="24"/>
                <w:szCs w:val="24"/>
              </w:rPr>
              <w:t>2.低成本、长寿命的氢燃料电池关键材料</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4"/>
                <w:szCs w:val="24"/>
              </w:rPr>
            </w:pPr>
            <w:r>
              <w:rPr>
                <w:rFonts w:hint="eastAsia" w:ascii="仿宋" w:hAnsi="仿宋" w:eastAsia="仿宋" w:cs="仿宋"/>
                <w:kern w:val="0"/>
                <w:sz w:val="24"/>
                <w:szCs w:val="24"/>
              </w:rPr>
              <w:t>3.高效氢能储运技术、氢电双向转换与一体化技术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4"/>
                <w:szCs w:val="24"/>
              </w:rPr>
            </w:pPr>
            <w:r>
              <w:rPr>
                <w:rFonts w:hint="eastAsia" w:ascii="仿宋" w:hAnsi="仿宋" w:eastAsia="仿宋" w:cs="仿宋"/>
                <w:kern w:val="0"/>
                <w:sz w:val="24"/>
                <w:szCs w:val="24"/>
              </w:rPr>
              <w:t>4.绿色氢能获取与利用技术的实际应用</w:t>
            </w:r>
            <w:r>
              <w:rPr>
                <w:rFonts w:hint="eastAsia" w:ascii="仿宋" w:hAnsi="仿宋" w:eastAsia="仿宋" w:cs="仿宋"/>
                <w:kern w:val="0"/>
                <w:sz w:val="24"/>
                <w:szCs w:val="24"/>
                <w:lang w:val="en-US" w:eastAsia="zh-CN"/>
              </w:rPr>
              <w:t>和过程</w:t>
            </w:r>
            <w:r>
              <w:rPr>
                <w:rFonts w:hint="eastAsia" w:ascii="仿宋" w:hAnsi="仿宋" w:eastAsia="仿宋" w:cs="仿宋"/>
                <w:kern w:val="0"/>
                <w:sz w:val="24"/>
                <w:szCs w:val="24"/>
              </w:rPr>
              <w:t>安全性</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ascii="仿宋" w:hAnsi="仿宋" w:eastAsia="仿宋" w:cs="仿宋"/>
                <w:kern w:val="0"/>
                <w:sz w:val="32"/>
                <w:szCs w:val="32"/>
              </w:rPr>
            </w:pPr>
            <w:r>
              <w:rPr>
                <w:rFonts w:hint="eastAsia" w:ascii="仿宋" w:hAnsi="仿宋" w:eastAsia="仿宋" w:cs="仿宋"/>
                <w:kern w:val="0"/>
                <w:sz w:val="24"/>
                <w:szCs w:val="24"/>
              </w:rPr>
              <w:t>5.绿色氢能获取与利用过程经济性，</w:t>
            </w:r>
            <w:r>
              <w:rPr>
                <w:rFonts w:hint="eastAsia" w:ascii="仿宋" w:hAnsi="仿宋" w:eastAsia="仿宋" w:cs="仿宋"/>
                <w:kern w:val="0"/>
                <w:sz w:val="24"/>
                <w:szCs w:val="24"/>
                <w:lang w:val="en-US" w:eastAsia="zh-CN"/>
              </w:rPr>
              <w:t>分析</w:t>
            </w:r>
            <w:r>
              <w:rPr>
                <w:rFonts w:hint="eastAsia" w:ascii="仿宋" w:hAnsi="仿宋" w:eastAsia="仿宋" w:cs="仿宋"/>
                <w:kern w:val="0"/>
                <w:sz w:val="24"/>
                <w:szCs w:val="24"/>
              </w:rPr>
              <w:t>成本效益等</w:t>
            </w:r>
          </w:p>
        </w:tc>
      </w:tr>
    </w:tbl>
    <w:p>
      <w:pPr>
        <w:rPr>
          <w:rFonts w:ascii="仿宋" w:hAnsi="仿宋" w:eastAsia="仿宋"/>
          <w:sz w:val="32"/>
          <w:szCs w:val="32"/>
        </w:rPr>
      </w:pPr>
      <w:r>
        <w:rPr>
          <w:rFonts w:ascii="仿宋" w:hAnsi="仿宋" w:eastAsia="仿宋"/>
          <w:sz w:val="32"/>
          <w:szCs w:val="32"/>
        </w:rPr>
        <w:br w:type="page"/>
      </w:r>
    </w:p>
    <w:p>
      <w:pPr>
        <w:snapToGrid w:val="0"/>
        <w:spacing w:before="120" w:beforeLines="50" w:after="120" w:afterLines="50" w:line="500" w:lineRule="exact"/>
        <w:jc w:val="center"/>
        <w:rPr>
          <w:rFonts w:ascii="仿宋" w:hAnsi="仿宋" w:eastAsia="仿宋" w:cs="仿宋_GB2312"/>
          <w:b/>
          <w:bCs/>
          <w:color w:val="000000"/>
          <w:sz w:val="32"/>
          <w:szCs w:val="32"/>
        </w:rPr>
      </w:pPr>
      <w:r>
        <w:rPr>
          <w:rFonts w:hint="eastAsia" w:ascii="仿宋" w:hAnsi="仿宋" w:eastAsia="仿宋" w:cs="仿宋_GB2312"/>
          <w:b/>
          <w:bCs/>
          <w:sz w:val="32"/>
          <w:szCs w:val="32"/>
        </w:rPr>
        <w:t>命题</w:t>
      </w:r>
      <w:r>
        <w:rPr>
          <w:rFonts w:ascii="仿宋" w:hAnsi="仿宋" w:eastAsia="仿宋" w:cs="仿宋_GB2312"/>
          <w:b/>
          <w:bCs/>
          <w:sz w:val="32"/>
          <w:szCs w:val="32"/>
        </w:rPr>
        <w:t>7</w:t>
      </w:r>
      <w:r>
        <w:rPr>
          <w:rFonts w:hint="eastAsia" w:ascii="仿宋" w:hAnsi="仿宋" w:eastAsia="仿宋" w:cs="仿宋_GB2312"/>
          <w:b/>
          <w:bCs/>
          <w:sz w:val="32"/>
          <w:szCs w:val="32"/>
        </w:rPr>
        <w:t>（赛道二：新材料与新能源）</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2" w:hRule="atLeast"/>
          <w:jc w:val="center"/>
        </w:trPr>
        <w:tc>
          <w:tcPr>
            <w:tcW w:w="8220" w:type="dxa"/>
            <w:vAlign w:val="top"/>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ascii="仿宋" w:hAnsi="仿宋" w:eastAsia="仿宋" w:cs="仿宋"/>
                <w:b/>
                <w:bCs/>
                <w:kern w:val="0"/>
                <w:sz w:val="32"/>
                <w:szCs w:val="32"/>
              </w:rPr>
            </w:pPr>
            <w:r>
              <w:rPr>
                <w:rFonts w:hint="eastAsia" w:ascii="仿宋" w:hAnsi="仿宋" w:eastAsia="仿宋" w:cs="仿宋"/>
                <w:b/>
                <w:bCs/>
                <w:kern w:val="0"/>
                <w:sz w:val="28"/>
                <w:szCs w:val="28"/>
              </w:rPr>
              <w:t>主题：CO</w:t>
            </w:r>
            <w:r>
              <w:rPr>
                <w:rFonts w:hint="eastAsia" w:ascii="仿宋" w:hAnsi="仿宋" w:eastAsia="仿宋" w:cs="仿宋"/>
                <w:b/>
                <w:bCs/>
                <w:kern w:val="0"/>
                <w:sz w:val="28"/>
                <w:szCs w:val="28"/>
                <w:vertAlign w:val="subscript"/>
              </w:rPr>
              <w:t>2</w:t>
            </w:r>
            <w:r>
              <w:rPr>
                <w:rFonts w:hint="eastAsia" w:ascii="仿宋" w:hAnsi="仿宋" w:eastAsia="仿宋" w:cs="仿宋"/>
                <w:b/>
                <w:bCs/>
                <w:kern w:val="0"/>
                <w:sz w:val="28"/>
                <w:szCs w:val="28"/>
              </w:rPr>
              <w:t>价值循环利用之催化转化技术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的高效转化利用对缓解能源危机以及实现“碳中和”目标具有重要的战略意义。CO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加氢制烃类等高附加值产品将CO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与可再生能源有机结合，不仅有望解决环境问题，还可以缓解化石能源枯竭所带来的能源危机，具有非常广阔的研究前景。传统的金属氧化物催化剂通常需要较高的反应温度</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&gt;300oC</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来催化CO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加氢制甲醇，往往伴随着严重的逆水煤气变换</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RWGS</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反应，导致产生大量副产物一氧化碳</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CO)。在金属氧化物催化剂中引入过渡金属组分可以促进H</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的活化从而降低反应温度，但同时又容易导致CO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过度加氢到甲烷</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CH</w:t>
            </w:r>
            <w:r>
              <w:rPr>
                <w:rFonts w:hint="eastAsia" w:ascii="仿宋" w:hAnsi="仿宋" w:eastAsia="仿宋" w:cs="仿宋"/>
                <w:kern w:val="0"/>
                <w:sz w:val="28"/>
                <w:szCs w:val="28"/>
                <w:vertAlign w:val="subscript"/>
              </w:rPr>
              <w:t>4</w:t>
            </w:r>
            <w:r>
              <w:rPr>
                <w:rFonts w:hint="eastAsia" w:ascii="仿宋" w:hAnsi="仿宋" w:eastAsia="仿宋" w:cs="仿宋"/>
                <w:kern w:val="0"/>
                <w:sz w:val="28"/>
                <w:szCs w:val="28"/>
              </w:rPr>
              <w:t>)。金属/金属氧化物催化CO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加氢制甲醇体系中活性与选择性的相互制约，严重限制了其低温催化性能的提升。因此，为实现CO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低温高效加氢制烃类等高附加值产品，</w:t>
            </w:r>
            <w:r>
              <w:rPr>
                <w:rFonts w:hint="eastAsia" w:ascii="仿宋" w:hAnsi="仿宋" w:eastAsia="仿宋" w:cs="仿宋"/>
                <w:kern w:val="0"/>
                <w:sz w:val="28"/>
                <w:szCs w:val="28"/>
                <w:lang w:eastAsia="zh-CN"/>
              </w:rPr>
              <w:t>亟须寻求</w:t>
            </w:r>
            <w:r>
              <w:rPr>
                <w:rFonts w:hint="eastAsia" w:ascii="仿宋" w:hAnsi="仿宋" w:eastAsia="仿宋" w:cs="仿宋"/>
                <w:kern w:val="0"/>
                <w:sz w:val="28"/>
                <w:szCs w:val="28"/>
              </w:rPr>
              <w:t>新的低成本过渡金属化合物催化剂体系，控制催化加氢温度低于200 oC，进而提高CO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的单程转化率10%以上，并对全产业过程的能耗和经济成本进行必要的分析。</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仿宋"/>
                <w:color w:val="0C0C0C"/>
                <w:kern w:val="0"/>
                <w:sz w:val="32"/>
                <w:szCs w:val="32"/>
              </w:rPr>
            </w:pPr>
            <w:r>
              <w:rPr>
                <w:rFonts w:hint="eastAsia" w:ascii="仿宋" w:hAnsi="仿宋" w:eastAsia="仿宋" w:cs="仿宋"/>
                <w:kern w:val="0"/>
                <w:sz w:val="28"/>
                <w:szCs w:val="28"/>
              </w:rPr>
              <w:t>本赛道关注CO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催化转化的高效催化剂体系，从材料选择、结构设计的角度提出有市场应用前景的催化剂，为实现低能耗、高效率的CO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转化利用开辟了新途径，达到实现减碳降碳的社会效益。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3"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eastAsia="zh-CN"/>
              </w:rPr>
              <w:t>（</w:t>
            </w:r>
            <w:r>
              <w:rPr>
                <w:rFonts w:hint="eastAsia" w:ascii="仿宋" w:hAnsi="仿宋" w:eastAsia="仿宋" w:cs="仿宋"/>
                <w:b/>
                <w:bCs/>
                <w:kern w:val="0"/>
                <w:sz w:val="28"/>
                <w:szCs w:val="28"/>
                <w:lang w:val="en-US" w:eastAsia="zh-CN"/>
              </w:rPr>
              <w:t>均需考虑碳排核算和能源利用</w:t>
            </w:r>
            <w:r>
              <w:rPr>
                <w:rFonts w:hint="eastAsia" w:ascii="仿宋" w:hAnsi="仿宋" w:eastAsia="仿宋" w:cs="仿宋"/>
                <w:b/>
                <w:bCs/>
                <w:kern w:val="0"/>
                <w:sz w:val="28"/>
                <w:szCs w:val="28"/>
                <w:lang w:eastAsia="zh-CN"/>
              </w:rPr>
              <w:t>）</w:t>
            </w:r>
            <w:r>
              <w:rPr>
                <w:rFonts w:hint="eastAsia" w:ascii="仿宋" w:hAnsi="仿宋" w:eastAsia="仿宋" w:cs="仿宋"/>
                <w:b/>
                <w:bCs/>
                <w:kern w:val="0"/>
                <w:sz w:val="28"/>
                <w:szCs w:val="28"/>
                <w:lang w:val="zh-TW"/>
              </w:rPr>
              <w:t>：</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转化新途径与催化新技术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2.低成本CO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转化催化剂</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3.高效稳定的CO</w:t>
            </w:r>
            <w:r>
              <w:rPr>
                <w:rFonts w:hint="eastAsia" w:ascii="仿宋" w:hAnsi="仿宋" w:eastAsia="仿宋" w:cs="仿宋"/>
                <w:kern w:val="0"/>
                <w:sz w:val="28"/>
                <w:szCs w:val="28"/>
                <w:vertAlign w:val="subscript"/>
              </w:rPr>
              <w:t>2</w:t>
            </w:r>
            <w:r>
              <w:rPr>
                <w:rFonts w:hint="eastAsia" w:ascii="仿宋" w:hAnsi="仿宋" w:eastAsia="仿宋" w:cs="仿宋"/>
                <w:kern w:val="0"/>
                <w:sz w:val="28"/>
                <w:szCs w:val="28"/>
              </w:rPr>
              <w:t>电催化转化技术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ascii="仿宋" w:hAnsi="仿宋" w:eastAsia="仿宋" w:cs="仿宋"/>
                <w:b/>
                <w:bCs/>
                <w:kern w:val="0"/>
                <w:sz w:val="32"/>
                <w:szCs w:val="32"/>
              </w:rPr>
            </w:pPr>
            <w:r>
              <w:rPr>
                <w:rFonts w:hint="eastAsia" w:ascii="仿宋" w:hAnsi="仿宋" w:eastAsia="仿宋" w:cs="仿宋"/>
                <w:kern w:val="0"/>
                <w:sz w:val="28"/>
                <w:szCs w:val="28"/>
              </w:rPr>
              <w:t>4.模拟光合作用还原CO</w:t>
            </w:r>
            <w:r>
              <w:rPr>
                <w:rFonts w:hint="eastAsia" w:ascii="仿宋" w:hAnsi="仿宋" w:eastAsia="仿宋" w:cs="仿宋"/>
                <w:kern w:val="0"/>
                <w:sz w:val="28"/>
                <w:szCs w:val="28"/>
                <w:vertAlign w:val="subscript"/>
              </w:rPr>
              <w:t>2</w:t>
            </w:r>
          </w:p>
        </w:tc>
      </w:tr>
    </w:tbl>
    <w:p>
      <w:pPr>
        <w:rPr>
          <w:rFonts w:ascii="仿宋" w:hAnsi="仿宋" w:eastAsia="仿宋" w:cs="仿宋_GB2312"/>
          <w:b/>
          <w:bCs/>
          <w:sz w:val="32"/>
          <w:szCs w:val="32"/>
        </w:rPr>
      </w:pPr>
    </w:p>
    <w:p>
      <w:pPr>
        <w:widowControl/>
        <w:jc w:val="left"/>
        <w:rPr>
          <w:rFonts w:ascii="仿宋" w:hAnsi="仿宋" w:eastAsia="仿宋" w:cs="仿宋_GB2312"/>
          <w:b/>
          <w:bCs/>
          <w:sz w:val="32"/>
          <w:szCs w:val="32"/>
        </w:rPr>
      </w:pPr>
      <w:r>
        <w:rPr>
          <w:rFonts w:ascii="仿宋" w:hAnsi="仿宋" w:eastAsia="仿宋" w:cs="仿宋_GB2312"/>
          <w:b/>
          <w:bCs/>
          <w:sz w:val="32"/>
          <w:szCs w:val="32"/>
        </w:rPr>
        <w:br w:type="page"/>
      </w:r>
    </w:p>
    <w:p>
      <w:pPr>
        <w:widowControl/>
        <w:jc w:val="center"/>
        <w:rPr>
          <w:rFonts w:ascii="仿宋" w:hAnsi="仿宋" w:eastAsia="仿宋" w:cs="仿宋_GB2312"/>
          <w:b/>
          <w:bCs/>
          <w:sz w:val="32"/>
          <w:szCs w:val="32"/>
        </w:rPr>
      </w:pPr>
      <w:r>
        <w:rPr>
          <w:rFonts w:hint="eastAsia" w:ascii="仿宋" w:hAnsi="仿宋" w:eastAsia="仿宋" w:cs="仿宋_GB2312"/>
          <w:b/>
          <w:bCs/>
          <w:sz w:val="32"/>
          <w:szCs w:val="32"/>
        </w:rPr>
        <w:t>命题</w:t>
      </w:r>
      <w:r>
        <w:rPr>
          <w:rFonts w:ascii="仿宋" w:hAnsi="仿宋" w:eastAsia="仿宋" w:cs="仿宋_GB2312"/>
          <w:b/>
          <w:bCs/>
          <w:sz w:val="32"/>
          <w:szCs w:val="32"/>
        </w:rPr>
        <w:t>8</w:t>
      </w:r>
      <w:r>
        <w:rPr>
          <w:rFonts w:hint="eastAsia" w:ascii="仿宋" w:hAnsi="仿宋" w:eastAsia="仿宋" w:cs="仿宋_GB2312"/>
          <w:b/>
          <w:bCs/>
          <w:sz w:val="32"/>
          <w:szCs w:val="32"/>
        </w:rPr>
        <w:t>（赛道二：新材料与新能源）</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vAlign w:val="center"/>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b/>
                <w:bCs/>
                <w:kern w:val="0"/>
                <w:sz w:val="32"/>
                <w:szCs w:val="32"/>
              </w:rPr>
            </w:pPr>
            <w:r>
              <w:rPr>
                <w:rFonts w:hint="eastAsia" w:ascii="仿宋" w:hAnsi="仿宋" w:eastAsia="仿宋" w:cs="仿宋"/>
                <w:b/>
                <w:bCs/>
                <w:kern w:val="0"/>
                <w:sz w:val="28"/>
                <w:szCs w:val="28"/>
              </w:rPr>
              <w:t>主题：基于减碳节能的光充储集成式电池设计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jc w:val="center"/>
        </w:trPr>
        <w:tc>
          <w:tcPr>
            <w:tcW w:w="8220"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随着碳达峰与碳中和目标的提出，开发清洁能源低成本生产技术以及大规模低成本储能技术成为关键。从现有的清洁能源资源来看，太阳能是一种丰富.清洁.经济的能源。然而，其间歇性和不平衡性的特点要求必须与储能装置连接，以平衡能源供需，因此太阳能电池通常连接到可充电电池或电容器上。但这种复合型装置通常需要额外的电子设备，以使太阳能电池的电压输出与储能装置的输入电压要求相匹配，这增加了系统成本和能量损失。因此，开发具有光充电、储能集成式的二次供能装置，就显得优势明显，如光充电二次电池、光充电液流电池、光充电电容器等，这种电池将太阳能电池和储能装置集成在一起，去除了变压的需要，让光电压直接为储能装置充电，降低了组件串联的能量损失，提高了能量转化效率，从而起到减少碳排放、节约传统能源的社会效益。重点关注具有光响应性能的半导体材料、钙钛矿材料、染料分子等光敏材料作为光充电极，与具有离子嵌入/脱出功能的储能二次电池用正极的能级匹配与调谐作用，以及内部单元的集成技术。</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仿宋"/>
                <w:kern w:val="0"/>
                <w:sz w:val="32"/>
                <w:szCs w:val="32"/>
              </w:rPr>
            </w:pPr>
            <w:r>
              <w:rPr>
                <w:rFonts w:hint="eastAsia" w:ascii="仿宋" w:hAnsi="仿宋" w:eastAsia="仿宋" w:cs="仿宋"/>
                <w:kern w:val="0"/>
                <w:sz w:val="28"/>
                <w:szCs w:val="28"/>
              </w:rPr>
              <w:t>通过本专题集思广益，加深对光储充集成式二次电池的理解，进一步降低成本，提高能源转化与存储效率，促进相关产业的技术更新和研发推广，为社会环境和能源可持续发展做出重要贡献。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jc w:val="center"/>
        </w:trPr>
        <w:tc>
          <w:tcPr>
            <w:tcW w:w="8220"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eastAsia="zh-CN"/>
              </w:rPr>
              <w:t>（</w:t>
            </w:r>
            <w:r>
              <w:rPr>
                <w:rFonts w:hint="eastAsia" w:ascii="仿宋" w:hAnsi="仿宋" w:eastAsia="仿宋" w:cs="仿宋"/>
                <w:b/>
                <w:bCs/>
                <w:kern w:val="0"/>
                <w:sz w:val="28"/>
                <w:szCs w:val="28"/>
                <w:lang w:val="en-US" w:eastAsia="zh-CN"/>
              </w:rPr>
              <w:t>均需考虑碳排核算和能源利用</w:t>
            </w:r>
            <w:r>
              <w:rPr>
                <w:rFonts w:hint="eastAsia" w:ascii="仿宋" w:hAnsi="仿宋" w:eastAsia="仿宋" w:cs="仿宋"/>
                <w:b/>
                <w:bCs/>
                <w:kern w:val="0"/>
                <w:sz w:val="28"/>
                <w:szCs w:val="28"/>
                <w:lang w:eastAsia="zh-CN"/>
              </w:rPr>
              <w:t>）</w:t>
            </w:r>
            <w:r>
              <w:rPr>
                <w:rFonts w:hint="eastAsia" w:ascii="仿宋" w:hAnsi="仿宋" w:eastAsia="仿宋" w:cs="仿宋"/>
                <w:b/>
                <w:bCs/>
                <w:kern w:val="0"/>
                <w:sz w:val="28"/>
                <w:szCs w:val="28"/>
                <w:lang w:val="zh-TW"/>
              </w:rPr>
              <w:t>：</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1.高效太阳能转化材料与技术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2.光充储电池一体式集成技术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ascii="仿宋" w:hAnsi="仿宋" w:eastAsia="仿宋" w:cs="仿宋"/>
                <w:kern w:val="0"/>
                <w:sz w:val="32"/>
                <w:szCs w:val="32"/>
              </w:rPr>
            </w:pPr>
            <w:r>
              <w:rPr>
                <w:rFonts w:hint="eastAsia" w:ascii="仿宋" w:hAnsi="仿宋" w:eastAsia="仿宋" w:cs="仿宋"/>
                <w:kern w:val="0"/>
                <w:sz w:val="28"/>
                <w:szCs w:val="28"/>
              </w:rPr>
              <w:t>3.光电转化与电荷存储双功能材料</w:t>
            </w:r>
          </w:p>
        </w:tc>
      </w:tr>
    </w:tbl>
    <w:p>
      <w:pPr>
        <w:rPr>
          <w:rFonts w:ascii="仿宋" w:hAnsi="仿宋" w:eastAsia="仿宋" w:cs="仿宋_GB2312"/>
          <w:b/>
          <w:bCs/>
          <w:sz w:val="32"/>
          <w:szCs w:val="32"/>
        </w:rPr>
      </w:pPr>
    </w:p>
    <w:p>
      <w:pPr>
        <w:widowControl/>
        <w:jc w:val="left"/>
        <w:rPr>
          <w:rFonts w:ascii="仿宋" w:hAnsi="仿宋" w:eastAsia="仿宋" w:cs="仿宋_GB2312"/>
          <w:b/>
          <w:bCs/>
          <w:sz w:val="32"/>
          <w:szCs w:val="32"/>
        </w:rPr>
      </w:pPr>
      <w:r>
        <w:rPr>
          <w:rFonts w:ascii="仿宋" w:hAnsi="仿宋" w:eastAsia="仿宋" w:cs="仿宋_GB2312"/>
          <w:b/>
          <w:bCs/>
          <w:sz w:val="32"/>
          <w:szCs w:val="32"/>
        </w:rPr>
        <w:br w:type="page"/>
      </w:r>
    </w:p>
    <w:p>
      <w:pPr>
        <w:snapToGrid w:val="0"/>
        <w:spacing w:before="120" w:beforeLines="50" w:after="120" w:afterLines="50" w:line="500" w:lineRule="exact"/>
        <w:jc w:val="center"/>
        <w:rPr>
          <w:rFonts w:ascii="仿宋" w:hAnsi="仿宋" w:eastAsia="仿宋" w:cs="仿宋_GB2312"/>
          <w:b/>
          <w:bCs/>
          <w:sz w:val="32"/>
          <w:szCs w:val="32"/>
        </w:rPr>
      </w:pPr>
      <w:r>
        <w:rPr>
          <w:rFonts w:hint="eastAsia" w:ascii="仿宋" w:hAnsi="仿宋" w:eastAsia="仿宋" w:cs="仿宋_GB2312"/>
          <w:b/>
          <w:bCs/>
          <w:sz w:val="32"/>
          <w:szCs w:val="32"/>
        </w:rPr>
        <w:t>命题</w:t>
      </w:r>
      <w:r>
        <w:rPr>
          <w:rFonts w:ascii="仿宋" w:hAnsi="仿宋" w:eastAsia="仿宋" w:cs="仿宋_GB2312"/>
          <w:b/>
          <w:bCs/>
          <w:sz w:val="32"/>
          <w:szCs w:val="32"/>
        </w:rPr>
        <w:t>9</w:t>
      </w:r>
      <w:r>
        <w:rPr>
          <w:rFonts w:hint="eastAsia" w:ascii="仿宋" w:hAnsi="仿宋" w:eastAsia="仿宋" w:cs="仿宋_GB2312"/>
          <w:b/>
          <w:bCs/>
          <w:sz w:val="32"/>
          <w:szCs w:val="32"/>
        </w:rPr>
        <w:t>（赛道二：新材料与新能源）</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32"/>
                <w:szCs w:val="32"/>
                <w:lang w:val="en-US" w:eastAsia="zh-CN"/>
              </w:rPr>
            </w:pPr>
            <w:r>
              <w:rPr>
                <w:rFonts w:hint="eastAsia" w:ascii="仿宋" w:hAnsi="仿宋" w:eastAsia="仿宋" w:cs="仿宋"/>
                <w:b/>
                <w:bCs/>
                <w:kern w:val="0"/>
                <w:sz w:val="28"/>
                <w:szCs w:val="28"/>
              </w:rPr>
              <w:t>主题：火力发电碳捕集能耗</w:t>
            </w:r>
            <w:r>
              <w:rPr>
                <w:rFonts w:hint="eastAsia" w:ascii="仿宋" w:hAnsi="仿宋" w:eastAsia="仿宋" w:cs="仿宋"/>
                <w:b/>
                <w:bCs/>
                <w:kern w:val="0"/>
                <w:sz w:val="28"/>
                <w:szCs w:val="28"/>
                <w:lang w:val="en-US" w:eastAsia="zh-CN"/>
              </w:rPr>
              <w:t>分析</w:t>
            </w:r>
            <w:r>
              <w:rPr>
                <w:rFonts w:hint="eastAsia" w:ascii="仿宋" w:hAnsi="仿宋" w:eastAsia="仿宋" w:cs="仿宋"/>
                <w:b/>
                <w:bCs/>
                <w:kern w:val="0"/>
                <w:sz w:val="28"/>
                <w:szCs w:val="28"/>
              </w:rPr>
              <w:t>与碳</w:t>
            </w:r>
            <w:r>
              <w:rPr>
                <w:rFonts w:hint="eastAsia" w:ascii="仿宋" w:hAnsi="仿宋" w:eastAsia="仿宋" w:cs="仿宋"/>
                <w:b/>
                <w:bCs/>
                <w:kern w:val="0"/>
                <w:sz w:val="28"/>
                <w:szCs w:val="28"/>
                <w:lang w:eastAsia="zh-CN"/>
              </w:rPr>
              <w:t>泄露</w:t>
            </w:r>
            <w:r>
              <w:rPr>
                <w:rFonts w:hint="eastAsia" w:ascii="仿宋" w:hAnsi="仿宋" w:eastAsia="仿宋" w:cs="仿宋"/>
                <w:b/>
                <w:bCs/>
                <w:kern w:val="0"/>
                <w:sz w:val="28"/>
                <w:szCs w:val="28"/>
                <w:lang w:val="en-US" w:eastAsia="zh-CN"/>
              </w:rPr>
              <w:t>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8"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火力发电以煤炭、石油和天然气等化石燃料为主要一次能源，是温室气体排放的主要工业源之一，占全国二氧化碳排放量近三分之一，我国燃煤发电比例高达60%左右，由于核能资源限制、可再生能源发电的稳定性等问题，在相当长时间内，火力发电依然是我国电力供应的重要基础，相应的碳捕集是碳达峰碳中和战略实施的重要技术基础。但是火力发电系统的碳捕集存在多种技术路径，各种技术的能耗特点、用能品质以及可再生能源替代应用存在很大的差异，带来的附加碳排放或碳泄露（碳捕获过程能耗的碳排放计算边界内由于碳捕获工艺带来其他工艺过程增加的碳排放）直接影响了火力发电系统的碳达峰与碳中和战略的实施。</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仿宋"/>
                <w:kern w:val="0"/>
                <w:sz w:val="32"/>
                <w:szCs w:val="32"/>
              </w:rPr>
            </w:pPr>
            <w:r>
              <w:rPr>
                <w:rFonts w:hint="eastAsia" w:ascii="仿宋" w:hAnsi="仿宋" w:eastAsia="仿宋" w:cs="仿宋"/>
                <w:kern w:val="0"/>
                <w:sz w:val="28"/>
                <w:szCs w:val="28"/>
              </w:rPr>
              <w:t>拟通过本主题，合众之力，结合材料创新与节能科技，推动低能耗和低碳泄露的火力发电系统碳捕集设计技术的发展，帮助推动全球火力发电系统低能耗碳捕集问题的解决，探索支持可持续发展的火力发电之路。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eastAsia="zh-TW"/>
              </w:rPr>
            </w:pPr>
            <w:r>
              <w:rPr>
                <w:rFonts w:hint="eastAsia" w:ascii="仿宋" w:hAnsi="仿宋" w:eastAsia="仿宋" w:cs="仿宋"/>
                <w:b/>
                <w:bCs/>
                <w:kern w:val="0"/>
                <w:sz w:val="28"/>
                <w:szCs w:val="28"/>
                <w:lang w:val="zh-TW" w:eastAsia="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eastAsia="zh-CN"/>
              </w:rPr>
              <w:t>（</w:t>
            </w:r>
            <w:r>
              <w:rPr>
                <w:rFonts w:hint="eastAsia" w:ascii="仿宋" w:hAnsi="仿宋" w:eastAsia="仿宋" w:cs="仿宋"/>
                <w:b/>
                <w:bCs/>
                <w:kern w:val="0"/>
                <w:sz w:val="28"/>
                <w:szCs w:val="28"/>
                <w:lang w:val="en-US" w:eastAsia="zh-CN"/>
              </w:rPr>
              <w:t>均需考虑碳排核算和能源利用</w:t>
            </w:r>
            <w:r>
              <w:rPr>
                <w:rFonts w:hint="eastAsia" w:ascii="仿宋" w:hAnsi="仿宋" w:eastAsia="仿宋" w:cs="仿宋"/>
                <w:b/>
                <w:bCs/>
                <w:kern w:val="0"/>
                <w:sz w:val="28"/>
                <w:szCs w:val="28"/>
                <w:lang w:eastAsia="zh-CN"/>
              </w:rPr>
              <w:t>）</w:t>
            </w:r>
            <w:r>
              <w:rPr>
                <w:rFonts w:hint="eastAsia" w:ascii="仿宋" w:hAnsi="仿宋" w:eastAsia="仿宋" w:cs="仿宋"/>
                <w:b/>
                <w:bCs/>
                <w:kern w:val="0"/>
                <w:sz w:val="28"/>
                <w:szCs w:val="28"/>
                <w:lang w:val="zh-TW" w:eastAsia="zh-TW"/>
              </w:rPr>
              <w:t>：</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1.火力发电有机胺吸收碳捕获技术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2.碳捕获材料有机胺等的低能耗再生</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3.二氧化碳捕获后远距离运输需要的液化过程节能技术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4.二氧化碳捕获工艺中可再生能源的应用</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ascii="仿宋" w:hAnsi="仿宋" w:eastAsia="仿宋" w:cs="仿宋"/>
                <w:bCs/>
                <w:kern w:val="0"/>
                <w:sz w:val="32"/>
                <w:szCs w:val="32"/>
              </w:rPr>
            </w:pPr>
            <w:r>
              <w:rPr>
                <w:rFonts w:hint="eastAsia" w:ascii="仿宋" w:hAnsi="仿宋" w:eastAsia="仿宋" w:cs="仿宋"/>
                <w:kern w:val="0"/>
                <w:sz w:val="28"/>
                <w:szCs w:val="28"/>
              </w:rPr>
              <w:t>5.火力发电机组灵活性调控技术与碳捕获工艺的协调技术</w:t>
            </w:r>
          </w:p>
        </w:tc>
      </w:tr>
    </w:tbl>
    <w:p>
      <w:pPr>
        <w:widowControl/>
        <w:jc w:val="left"/>
        <w:rPr>
          <w:rFonts w:ascii="仿宋" w:hAnsi="仿宋" w:eastAsia="仿宋" w:cs="仿宋_GB2312"/>
          <w:b/>
          <w:bCs/>
          <w:sz w:val="32"/>
          <w:szCs w:val="32"/>
        </w:rPr>
      </w:pPr>
    </w:p>
    <w:p>
      <w:pPr>
        <w:rPr>
          <w:rFonts w:hint="eastAsia" w:ascii="仿宋" w:hAnsi="仿宋" w:eastAsia="仿宋" w:cs="仿宋_GB2312"/>
          <w:b/>
          <w:bCs/>
          <w:sz w:val="32"/>
          <w:szCs w:val="32"/>
        </w:rPr>
      </w:pPr>
      <w:r>
        <w:rPr>
          <w:rFonts w:hint="eastAsia" w:ascii="仿宋" w:hAnsi="仿宋" w:eastAsia="仿宋" w:cs="仿宋_GB2312"/>
          <w:b/>
          <w:bCs/>
          <w:sz w:val="32"/>
          <w:szCs w:val="32"/>
        </w:rPr>
        <w:br w:type="page"/>
      </w:r>
    </w:p>
    <w:p>
      <w:pPr>
        <w:snapToGrid w:val="0"/>
        <w:spacing w:before="120" w:beforeLines="50" w:after="120" w:afterLines="50" w:line="500" w:lineRule="exact"/>
        <w:jc w:val="center"/>
        <w:rPr>
          <w:rFonts w:ascii="仿宋" w:hAnsi="仿宋" w:eastAsia="仿宋" w:cs="仿宋_GB2312"/>
          <w:b/>
          <w:bCs/>
          <w:sz w:val="32"/>
          <w:szCs w:val="32"/>
        </w:rPr>
      </w:pPr>
      <w:r>
        <w:rPr>
          <w:rFonts w:hint="eastAsia" w:ascii="仿宋" w:hAnsi="仿宋" w:eastAsia="仿宋" w:cs="仿宋_GB2312"/>
          <w:b/>
          <w:bCs/>
          <w:sz w:val="32"/>
          <w:szCs w:val="32"/>
        </w:rPr>
        <w:t>命题</w:t>
      </w:r>
      <w:r>
        <w:rPr>
          <w:rFonts w:ascii="仿宋" w:hAnsi="仿宋" w:eastAsia="仿宋" w:cs="仿宋_GB2312"/>
          <w:b/>
          <w:bCs/>
          <w:sz w:val="32"/>
          <w:szCs w:val="32"/>
        </w:rPr>
        <w:t>10</w:t>
      </w:r>
      <w:r>
        <w:rPr>
          <w:rFonts w:hint="eastAsia" w:ascii="仿宋" w:hAnsi="仿宋" w:eastAsia="仿宋" w:cs="仿宋_GB2312"/>
          <w:b/>
          <w:bCs/>
          <w:sz w:val="32"/>
          <w:szCs w:val="32"/>
        </w:rPr>
        <w:t>（赛道三：电子与信息）</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32"/>
                <w:szCs w:val="32"/>
                <w:lang w:val="en-US" w:eastAsia="zh-CN"/>
              </w:rPr>
            </w:pPr>
            <w:r>
              <w:rPr>
                <w:rFonts w:hint="eastAsia" w:ascii="仿宋" w:hAnsi="仿宋" w:eastAsia="仿宋" w:cs="仿宋"/>
                <w:b/>
                <w:bCs/>
                <w:kern w:val="0"/>
                <w:sz w:val="28"/>
                <w:szCs w:val="28"/>
              </w:rPr>
              <w:t>主题：绿色低碳信息技术</w:t>
            </w:r>
            <w:r>
              <w:rPr>
                <w:rFonts w:hint="eastAsia" w:ascii="仿宋" w:hAnsi="仿宋" w:eastAsia="仿宋" w:cs="仿宋"/>
                <w:b/>
                <w:bCs/>
                <w:kern w:val="0"/>
                <w:sz w:val="28"/>
                <w:szCs w:val="28"/>
                <w:lang w:val="en-US" w:eastAsia="zh-CN"/>
              </w:rPr>
              <w:t>及其应用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9"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信息技术主要包括传感技术、计算机与智能技术、通信技术和控制技术等管理和处理信息所采用的各种技术的总称。然而，在社会信息化、数字化、智能化的进程中，信息技术也成为耗能大户。有数据显示，2018年计算机、数据中心和网络大约消耗全球电力的10%，其中，有源终端和数据中心各消耗30%，网络消耗40%。截至2022年5月末，我国5G基站总数达170万个，占移动基站总数的16.7%，5G移动电话用户达4.28亿户。然而，5G基站建设和运营能耗偏高，电费居高不下。综上，信息技术在性能指标、使用效率、管理方式、实际部署等方面存在各种现实问题。那么，如何在享受信息技术带来的便捷性和高效性的同时，又可以有效控制其能耗，更好</w:t>
            </w:r>
            <w:r>
              <w:rPr>
                <w:rFonts w:hint="eastAsia" w:ascii="仿宋" w:hAnsi="仿宋" w:eastAsia="仿宋" w:cs="仿宋"/>
                <w:kern w:val="0"/>
                <w:sz w:val="28"/>
                <w:szCs w:val="28"/>
                <w:lang w:eastAsia="zh-CN"/>
              </w:rPr>
              <w:t>地</w:t>
            </w:r>
            <w:r>
              <w:rPr>
                <w:rFonts w:hint="eastAsia" w:ascii="仿宋" w:hAnsi="仿宋" w:eastAsia="仿宋" w:cs="仿宋"/>
                <w:kern w:val="0"/>
                <w:sz w:val="28"/>
                <w:szCs w:val="28"/>
              </w:rPr>
              <w:t>服务人类“双碳”的目标呢？</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仿宋"/>
                <w:kern w:val="0"/>
                <w:sz w:val="32"/>
                <w:szCs w:val="32"/>
              </w:rPr>
            </w:pPr>
            <w:r>
              <w:rPr>
                <w:rFonts w:hint="eastAsia" w:ascii="仿宋" w:hAnsi="仿宋" w:eastAsia="仿宋" w:cs="仿宋"/>
                <w:kern w:val="0"/>
                <w:sz w:val="28"/>
                <w:szCs w:val="28"/>
              </w:rPr>
              <w:t>拟通过本主题，合众之力，推动绿色低碳信息技术的发展，加强国家新一代信息技术的能耗管理和集约经营，探索绿色可持续发展之路。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1"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kern w:val="0"/>
                <w:sz w:val="32"/>
                <w:szCs w:val="32"/>
                <w:lang w:val="zh-TW"/>
              </w:rPr>
            </w:pPr>
            <w:r>
              <w:rPr>
                <w:rFonts w:hint="eastAsia" w:ascii="仿宋" w:hAnsi="仿宋" w:eastAsia="仿宋" w:cs="仿宋"/>
                <w:b/>
                <w:bCs/>
                <w:kern w:val="0"/>
                <w:sz w:val="28"/>
                <w:szCs w:val="28"/>
                <w:lang w:val="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val="zh-TW"/>
              </w:rPr>
              <w:t>：</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1.5G基站能耗监测与管理</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2.5G终端与核心网节能技术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3.5G敏捷切片与通存算一体节能优化</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4.电信运营商数据中心与可再生能源耦合</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ascii="仿宋" w:hAnsi="仿宋" w:eastAsia="仿宋" w:cs="仿宋"/>
                <w:kern w:val="0"/>
                <w:sz w:val="32"/>
                <w:szCs w:val="32"/>
              </w:rPr>
            </w:pPr>
            <w:r>
              <w:rPr>
                <w:rFonts w:hint="eastAsia" w:ascii="仿宋" w:hAnsi="仿宋" w:eastAsia="仿宋" w:cs="仿宋"/>
                <w:kern w:val="0"/>
                <w:sz w:val="28"/>
                <w:szCs w:val="28"/>
              </w:rPr>
              <w:t>5.电信运营商数据中心余热利用</w:t>
            </w:r>
          </w:p>
        </w:tc>
      </w:tr>
    </w:tbl>
    <w:p>
      <w:pPr>
        <w:snapToGrid w:val="0"/>
        <w:spacing w:before="120" w:beforeLines="50" w:after="120" w:afterLines="50" w:line="500" w:lineRule="exact"/>
        <w:jc w:val="center"/>
        <w:rPr>
          <w:rFonts w:ascii="仿宋" w:hAnsi="仿宋" w:eastAsia="仿宋" w:cs="仿宋_GB2312"/>
          <w:b/>
          <w:bCs/>
          <w:sz w:val="32"/>
          <w:szCs w:val="32"/>
        </w:rPr>
      </w:pPr>
    </w:p>
    <w:p>
      <w:pPr>
        <w:widowControl/>
        <w:jc w:val="left"/>
        <w:rPr>
          <w:rFonts w:ascii="仿宋" w:hAnsi="仿宋" w:eastAsia="仿宋" w:cs="仿宋_GB2312"/>
          <w:b/>
          <w:bCs/>
          <w:sz w:val="32"/>
          <w:szCs w:val="32"/>
        </w:rPr>
      </w:pPr>
      <w:r>
        <w:rPr>
          <w:rFonts w:ascii="仿宋" w:hAnsi="仿宋" w:eastAsia="仿宋" w:cs="仿宋_GB2312"/>
          <w:b/>
          <w:bCs/>
          <w:sz w:val="32"/>
          <w:szCs w:val="32"/>
        </w:rPr>
        <w:br w:type="page"/>
      </w:r>
    </w:p>
    <w:p>
      <w:pPr>
        <w:snapToGrid w:val="0"/>
        <w:spacing w:before="120" w:beforeLines="50" w:after="120" w:afterLines="50" w:line="500" w:lineRule="exact"/>
        <w:jc w:val="center"/>
        <w:rPr>
          <w:rFonts w:ascii="仿宋" w:hAnsi="仿宋" w:eastAsia="仿宋" w:cs="仿宋_GB2312"/>
          <w:b/>
          <w:bCs/>
          <w:sz w:val="32"/>
          <w:szCs w:val="32"/>
        </w:rPr>
      </w:pPr>
      <w:r>
        <w:rPr>
          <w:rFonts w:hint="eastAsia" w:ascii="仿宋" w:hAnsi="仿宋" w:eastAsia="仿宋" w:cs="仿宋_GB2312"/>
          <w:b/>
          <w:bCs/>
          <w:sz w:val="32"/>
          <w:szCs w:val="32"/>
        </w:rPr>
        <w:t>命题</w:t>
      </w:r>
      <w:r>
        <w:rPr>
          <w:rFonts w:ascii="仿宋" w:hAnsi="仿宋" w:eastAsia="仿宋" w:cs="仿宋_GB2312"/>
          <w:b/>
          <w:bCs/>
          <w:sz w:val="32"/>
          <w:szCs w:val="32"/>
        </w:rPr>
        <w:t>11</w:t>
      </w:r>
      <w:r>
        <w:rPr>
          <w:rFonts w:hint="eastAsia" w:ascii="仿宋" w:hAnsi="仿宋" w:eastAsia="仿宋" w:cs="仿宋_GB2312"/>
          <w:b/>
          <w:bCs/>
          <w:sz w:val="32"/>
          <w:szCs w:val="32"/>
        </w:rPr>
        <w:t>（赛道三：电子与信息）</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b/>
                <w:bCs/>
                <w:kern w:val="0"/>
                <w:sz w:val="32"/>
                <w:szCs w:val="32"/>
              </w:rPr>
            </w:pPr>
            <w:r>
              <w:rPr>
                <w:rFonts w:hint="eastAsia" w:ascii="仿宋" w:hAnsi="仿宋" w:eastAsia="仿宋" w:cs="仿宋"/>
                <w:b/>
                <w:bCs/>
                <w:kern w:val="0"/>
                <w:sz w:val="28"/>
                <w:szCs w:val="28"/>
              </w:rPr>
              <w:t>主题：绿色高效大规模预训练AI技术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9"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大规模预训练模型是人工智能重要发展方向，其通过训练以执行大量数据上的特定任务获得具有通用的深度学习架构的模型。但据最近的研究发现，单一大模型在训练阶段产生的二氧化碳量甚至可达284吨，远超一辆家用轿车在其寿命内排放的二氧化碳量；而模型的规模还一直在增长。尽管人工智能算法性能取得了长足的发展，但如何高效去训练这些大规模预训练模型非常有挑战意义，对低碳环保意义巨大的。另一方面，人工智能等技术为转型低碳社会开辟了新的途径，绿色计算（绿色AI）相关技术对减碳贡献将越来越突出，绿色算力和算法应用于传统行业和数据中心，潜力巨大。因此，如何创新性地设计兼顾性能和能耗的绿色算法、优化流程来降低算力，同时通过优化数据中心能耗，更好地评估兼顾性能和能耗的预训练模型在当下非常迫切。</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560" w:firstLineChars="200"/>
              <w:textAlignment w:val="auto"/>
              <w:rPr>
                <w:rFonts w:ascii="仿宋" w:hAnsi="仿宋" w:eastAsia="仿宋" w:cs="仿宋"/>
                <w:b/>
                <w:bCs/>
                <w:kern w:val="0"/>
                <w:sz w:val="32"/>
                <w:szCs w:val="32"/>
              </w:rPr>
            </w:pPr>
            <w:r>
              <w:rPr>
                <w:rFonts w:hint="eastAsia" w:ascii="仿宋" w:hAnsi="仿宋" w:eastAsia="仿宋" w:cs="仿宋"/>
                <w:kern w:val="0"/>
                <w:sz w:val="28"/>
                <w:szCs w:val="28"/>
              </w:rPr>
              <w:t>拟通过本主题，设计合理地高效大规模预训练模型的性能衡量指标，推动低能耗</w:t>
            </w:r>
            <w:r>
              <w:rPr>
                <w:rFonts w:hint="eastAsia" w:ascii="仿宋" w:hAnsi="仿宋" w:eastAsia="仿宋" w:cs="仿宋"/>
                <w:kern w:val="0"/>
                <w:sz w:val="28"/>
                <w:szCs w:val="28"/>
                <w:lang w:eastAsia="zh-CN"/>
              </w:rPr>
              <w:t>的</w:t>
            </w:r>
            <w:r>
              <w:rPr>
                <w:rFonts w:hint="eastAsia" w:ascii="仿宋" w:hAnsi="仿宋" w:eastAsia="仿宋" w:cs="仿宋"/>
                <w:kern w:val="0"/>
                <w:sz w:val="28"/>
                <w:szCs w:val="28"/>
              </w:rPr>
              <w:t>大规模预训练模型和AI算法技术的发展，帮助推动云端碳排放减排问题的解决，探索可持续发展的人工智能赋能绿色计算之路。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1"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val="zh-TW"/>
              </w:rPr>
              <w:t>：</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1.利用技术优化，降低云端数据中心能耗</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2.开发低能耗的超大规模预训练模型</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3.对云端用电进行检测，优化系统，实现低碳数据中心</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4.监控碳排放，优化机组控制</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5.设计更科学地评估兼顾性能和能耗的AI算法的指标</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0" w:firstLineChars="0"/>
              <w:textAlignment w:val="auto"/>
              <w:rPr>
                <w:rFonts w:ascii="仿宋" w:hAnsi="仿宋" w:eastAsia="仿宋" w:cs="仿宋"/>
                <w:b/>
                <w:bCs/>
                <w:kern w:val="0"/>
                <w:sz w:val="32"/>
                <w:szCs w:val="32"/>
              </w:rPr>
            </w:pPr>
            <w:r>
              <w:rPr>
                <w:rFonts w:hint="eastAsia" w:ascii="仿宋" w:hAnsi="仿宋" w:eastAsia="仿宋" w:cs="仿宋"/>
                <w:kern w:val="0"/>
                <w:sz w:val="28"/>
                <w:szCs w:val="28"/>
              </w:rPr>
              <w:t>6.设计人工智能碳</w:t>
            </w:r>
            <w:r>
              <w:rPr>
                <w:rFonts w:hint="eastAsia" w:ascii="仿宋" w:hAnsi="仿宋" w:eastAsia="仿宋" w:cs="仿宋"/>
                <w:kern w:val="0"/>
                <w:sz w:val="28"/>
                <w:szCs w:val="28"/>
                <w:lang w:eastAsia="zh-CN"/>
              </w:rPr>
              <w:t>抵消</w:t>
            </w:r>
            <w:r>
              <w:rPr>
                <w:rFonts w:hint="eastAsia" w:ascii="仿宋" w:hAnsi="仿宋" w:eastAsia="仿宋" w:cs="仿宋"/>
                <w:kern w:val="0"/>
                <w:sz w:val="28"/>
                <w:szCs w:val="28"/>
              </w:rPr>
              <w:t>策略</w:t>
            </w:r>
          </w:p>
        </w:tc>
      </w:tr>
    </w:tbl>
    <w:p>
      <w:pPr>
        <w:rPr>
          <w:rFonts w:ascii="仿宋" w:hAnsi="仿宋" w:eastAsia="仿宋" w:cs="仿宋_GB2312"/>
          <w:sz w:val="32"/>
          <w:szCs w:val="32"/>
        </w:rPr>
      </w:pPr>
      <w:r>
        <w:rPr>
          <w:rFonts w:ascii="仿宋" w:hAnsi="仿宋" w:eastAsia="仿宋" w:cs="仿宋_GB2312"/>
          <w:sz w:val="32"/>
          <w:szCs w:val="32"/>
        </w:rPr>
        <w:br w:type="page"/>
      </w:r>
    </w:p>
    <w:p>
      <w:pPr>
        <w:jc w:val="center"/>
        <w:rPr>
          <w:rFonts w:ascii="仿宋" w:hAnsi="仿宋" w:eastAsia="仿宋"/>
          <w:sz w:val="32"/>
          <w:szCs w:val="32"/>
        </w:rPr>
      </w:pPr>
      <w:r>
        <w:rPr>
          <w:rFonts w:hint="eastAsia" w:ascii="仿宋" w:hAnsi="仿宋" w:eastAsia="仿宋" w:cs="仿宋_GB2312"/>
          <w:b/>
          <w:bCs/>
          <w:sz w:val="32"/>
          <w:szCs w:val="32"/>
        </w:rPr>
        <w:t>命题1</w:t>
      </w:r>
      <w:r>
        <w:rPr>
          <w:rFonts w:ascii="仿宋" w:hAnsi="仿宋" w:eastAsia="仿宋" w:cs="仿宋_GB2312"/>
          <w:b/>
          <w:bCs/>
          <w:sz w:val="32"/>
          <w:szCs w:val="32"/>
        </w:rPr>
        <w:t>2</w:t>
      </w:r>
      <w:r>
        <w:rPr>
          <w:rFonts w:hint="eastAsia" w:ascii="仿宋" w:hAnsi="仿宋" w:eastAsia="仿宋" w:cs="仿宋_GB2312"/>
          <w:b/>
          <w:bCs/>
          <w:sz w:val="32"/>
          <w:szCs w:val="32"/>
          <w:lang w:eastAsia="zh-CN"/>
        </w:rPr>
        <w:t>（</w:t>
      </w:r>
      <w:r>
        <w:rPr>
          <w:rFonts w:hint="eastAsia" w:ascii="仿宋" w:hAnsi="仿宋" w:eastAsia="仿宋" w:cs="仿宋_GB2312"/>
          <w:b/>
          <w:bCs/>
          <w:sz w:val="32"/>
          <w:szCs w:val="32"/>
        </w:rPr>
        <w:t>赛道三：电子与信息</w:t>
      </w:r>
      <w:r>
        <w:rPr>
          <w:rFonts w:hint="eastAsia" w:ascii="仿宋" w:hAnsi="仿宋" w:eastAsia="仿宋" w:cs="仿宋_GB2312"/>
          <w:b/>
          <w:bCs/>
          <w:sz w:val="32"/>
          <w:szCs w:val="32"/>
          <w:lang w:eastAsia="zh-CN"/>
        </w:rPr>
        <w:t>）</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kern w:val="0"/>
                <w:sz w:val="32"/>
                <w:szCs w:val="32"/>
              </w:rPr>
            </w:pPr>
            <w:r>
              <w:rPr>
                <w:rFonts w:hint="eastAsia" w:ascii="仿宋" w:hAnsi="仿宋" w:eastAsia="仿宋" w:cs="仿宋"/>
                <w:b/>
                <w:bCs/>
                <w:kern w:val="0"/>
                <w:sz w:val="28"/>
                <w:szCs w:val="28"/>
              </w:rPr>
              <w:t>主题：提升5G基站功率放大器效率减少碳排放关键技术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480" w:firstLineChars="200"/>
              <w:textAlignment w:val="auto"/>
              <w:rPr>
                <w:rFonts w:hint="eastAsia" w:ascii="仿宋" w:hAnsi="仿宋" w:eastAsia="仿宋" w:cs="仿宋"/>
                <w:kern w:val="0"/>
                <w:sz w:val="24"/>
                <w:szCs w:val="24"/>
              </w:rPr>
            </w:pPr>
            <w:r>
              <w:rPr>
                <w:rFonts w:hint="eastAsia" w:ascii="仿宋" w:hAnsi="仿宋" w:eastAsia="仿宋" w:cs="仿宋"/>
                <w:kern w:val="0"/>
                <w:sz w:val="24"/>
                <w:szCs w:val="24"/>
              </w:rPr>
              <w:t>实现 2030 年前碳达峰、2060 年前碳中和的“双碳”目标是党中央经过深思熟虑做出 的重大战略部署，也是中国对人类命运共同体应对气候变化的庄严承诺。我国正积极全 面布局 5G 产业，根据赛迪预计未来几年内我国将建设超过 1140 万个 5G 基站。2025 年该行业将占全球电量消耗总量的五分之一，5G 基站已成为影响通信行业碳排放的最重 要基础设施。为达成“双碳”目标，通信行业节能减碳势在必行。 基站能耗的主要问题是发射机的射频功率放大器效率问题，提升射频功率放大器的 效率是解决能耗问题的关键技术。提升功率放大器的效率需要使其工作在饱和区，导致线性度下降。功率放大器输出信号失真，5G 通信信号为非恒包络波形，调制方式复杂，产生更严重的谐波和交调等电磁干扰信号，落在带内引起信噪比降低，误码率上升，甚至无法解调；落在带外引起邻道抑制比降低，干扰其他通信频段，导致邻近 信道接收信号信噪比降低，造成严重的电磁兼容问题。</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480" w:firstLineChars="200"/>
              <w:textAlignment w:val="auto"/>
              <w:rPr>
                <w:rFonts w:hint="eastAsia" w:ascii="仿宋" w:hAnsi="仿宋" w:eastAsia="仿宋" w:cs="仿宋"/>
                <w:kern w:val="0"/>
                <w:sz w:val="24"/>
                <w:szCs w:val="24"/>
              </w:rPr>
            </w:pPr>
            <w:r>
              <w:rPr>
                <w:rFonts w:hint="eastAsia" w:ascii="仿宋" w:hAnsi="仿宋" w:eastAsia="仿宋" w:cs="仿宋"/>
                <w:kern w:val="0"/>
                <w:sz w:val="24"/>
                <w:szCs w:val="24"/>
              </w:rPr>
              <w:t>因此提升功率放大器的效率并抑制非线性是减少5G基站碳排放的重要举措，是通信行业减少能耗的难点问题和关键问题。那么，如何利用功率放大器效率提升技术降低能耗，降低成本，更好地促进节能减排？可在器件级通过物理仿真优化器件结构和工艺，提升输出功率，降低峰值电场，抑制自热效应等。在电路级采用谐波匹配、偏置电路、温度补偿电路、功率合成等关键技术提升线性度、功率和效率。在系统级通过数字预失真、热仿真提升效率和线性度。</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480" w:firstLineChars="200"/>
              <w:textAlignment w:val="auto"/>
              <w:rPr>
                <w:rFonts w:ascii="仿宋" w:hAnsi="仿宋" w:eastAsia="仿宋" w:cs="仿宋"/>
                <w:kern w:val="0"/>
                <w:sz w:val="32"/>
                <w:szCs w:val="32"/>
              </w:rPr>
            </w:pPr>
            <w:r>
              <w:rPr>
                <w:rFonts w:hint="eastAsia" w:ascii="仿宋" w:hAnsi="仿宋" w:eastAsia="仿宋" w:cs="仿宋"/>
                <w:kern w:val="0"/>
                <w:sz w:val="24"/>
                <w:szCs w:val="24"/>
              </w:rPr>
              <w:t>拟通过本主题，合众之力，综合功率放大器升效降碳技术，探索支持可持续发展的通信技术。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val="zh-TW"/>
              </w:rPr>
              <w:t>：</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0" w:firstLineChars="0"/>
              <w:textAlignment w:val="auto"/>
              <w:rPr>
                <w:rFonts w:hint="eastAsia" w:ascii="仿宋" w:hAnsi="仿宋" w:eastAsia="仿宋" w:cs="仿宋"/>
                <w:kern w:val="0"/>
                <w:sz w:val="24"/>
                <w:szCs w:val="24"/>
              </w:rPr>
            </w:pPr>
            <w:r>
              <w:rPr>
                <w:rFonts w:hint="eastAsia" w:ascii="仿宋" w:hAnsi="仿宋" w:eastAsia="仿宋" w:cs="仿宋"/>
                <w:kern w:val="0"/>
                <w:sz w:val="24"/>
                <w:szCs w:val="24"/>
              </w:rPr>
              <w:t>1.提升功率放大器效率技术</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0" w:firstLineChars="0"/>
              <w:textAlignment w:val="auto"/>
              <w:rPr>
                <w:rFonts w:hint="eastAsia" w:ascii="仿宋" w:hAnsi="仿宋" w:eastAsia="仿宋" w:cs="仿宋"/>
                <w:kern w:val="0"/>
                <w:sz w:val="24"/>
                <w:szCs w:val="24"/>
              </w:rPr>
            </w:pPr>
            <w:r>
              <w:rPr>
                <w:rFonts w:hint="eastAsia" w:ascii="仿宋" w:hAnsi="仿宋" w:eastAsia="仿宋" w:cs="仿宋"/>
                <w:kern w:val="0"/>
                <w:sz w:val="24"/>
                <w:szCs w:val="24"/>
              </w:rPr>
              <w:t>2.提升功率放大器线性度技术</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0" w:firstLineChars="0"/>
              <w:textAlignment w:val="auto"/>
              <w:rPr>
                <w:rFonts w:hint="eastAsia" w:ascii="仿宋" w:hAnsi="仿宋" w:eastAsia="仿宋" w:cs="仿宋"/>
                <w:kern w:val="0"/>
                <w:sz w:val="24"/>
                <w:szCs w:val="24"/>
              </w:rPr>
            </w:pPr>
            <w:r>
              <w:rPr>
                <w:rFonts w:hint="eastAsia" w:ascii="仿宋" w:hAnsi="仿宋" w:eastAsia="仿宋" w:cs="仿宋"/>
                <w:kern w:val="0"/>
                <w:sz w:val="24"/>
                <w:szCs w:val="24"/>
              </w:rPr>
              <w:t>3.提升功率放大器功率技术</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0" w:firstLineChars="0"/>
              <w:textAlignment w:val="auto"/>
              <w:rPr>
                <w:rFonts w:ascii="仿宋" w:hAnsi="仿宋" w:eastAsia="仿宋" w:cs="仿宋"/>
                <w:b/>
                <w:bCs/>
                <w:kern w:val="0"/>
                <w:sz w:val="32"/>
                <w:szCs w:val="32"/>
              </w:rPr>
            </w:pPr>
            <w:r>
              <w:rPr>
                <w:rFonts w:hint="eastAsia" w:ascii="仿宋" w:hAnsi="仿宋" w:eastAsia="仿宋" w:cs="仿宋"/>
                <w:kern w:val="0"/>
                <w:sz w:val="24"/>
                <w:szCs w:val="24"/>
              </w:rPr>
              <w:t>4.提升基站高效散热技术</w:t>
            </w:r>
          </w:p>
        </w:tc>
      </w:tr>
    </w:tbl>
    <w:p>
      <w:pPr>
        <w:rPr>
          <w:rFonts w:ascii="仿宋" w:hAnsi="仿宋" w:eastAsia="仿宋" w:cs="仿宋_GB2312"/>
          <w:b/>
          <w:bCs/>
          <w:sz w:val="32"/>
          <w:szCs w:val="32"/>
        </w:rPr>
      </w:pPr>
    </w:p>
    <w:p>
      <w:pPr>
        <w:widowControl/>
        <w:jc w:val="left"/>
        <w:rPr>
          <w:rFonts w:ascii="仿宋" w:hAnsi="仿宋" w:eastAsia="仿宋" w:cs="仿宋_GB2312"/>
          <w:b/>
          <w:bCs/>
          <w:sz w:val="32"/>
          <w:szCs w:val="32"/>
        </w:rPr>
      </w:pPr>
      <w:r>
        <w:rPr>
          <w:rFonts w:ascii="仿宋" w:hAnsi="仿宋" w:eastAsia="仿宋" w:cs="仿宋_GB2312"/>
          <w:b/>
          <w:bCs/>
          <w:sz w:val="32"/>
          <w:szCs w:val="32"/>
        </w:rPr>
        <w:br w:type="page"/>
      </w:r>
    </w:p>
    <w:p>
      <w:pPr>
        <w:jc w:val="center"/>
        <w:rPr>
          <w:rFonts w:ascii="仿宋" w:hAnsi="仿宋" w:eastAsia="仿宋" w:cs="仿宋_GB2312"/>
          <w:b/>
          <w:bCs/>
          <w:color w:val="000000"/>
          <w:sz w:val="32"/>
          <w:szCs w:val="32"/>
        </w:rPr>
      </w:pPr>
      <w:r>
        <w:rPr>
          <w:rFonts w:hint="eastAsia" w:ascii="仿宋" w:hAnsi="仿宋" w:eastAsia="仿宋" w:cs="仿宋_GB2312"/>
          <w:b/>
          <w:bCs/>
          <w:sz w:val="32"/>
          <w:szCs w:val="32"/>
        </w:rPr>
        <w:t>命题1</w:t>
      </w:r>
      <w:r>
        <w:rPr>
          <w:rFonts w:ascii="仿宋" w:hAnsi="仿宋" w:eastAsia="仿宋" w:cs="仿宋_GB2312"/>
          <w:b/>
          <w:bCs/>
          <w:sz w:val="32"/>
          <w:szCs w:val="32"/>
        </w:rPr>
        <w:t>3</w:t>
      </w:r>
      <w:r>
        <w:rPr>
          <w:rFonts w:hint="eastAsia" w:ascii="仿宋" w:hAnsi="仿宋" w:eastAsia="仿宋" w:cs="仿宋_GB2312"/>
          <w:b/>
          <w:bCs/>
          <w:sz w:val="32"/>
          <w:szCs w:val="32"/>
          <w:lang w:eastAsia="zh-CN"/>
        </w:rPr>
        <w:t>（</w:t>
      </w:r>
      <w:r>
        <w:rPr>
          <w:rFonts w:hint="eastAsia" w:ascii="仿宋" w:hAnsi="仿宋" w:eastAsia="仿宋" w:cs="仿宋_GB2312"/>
          <w:b/>
          <w:bCs/>
          <w:sz w:val="32"/>
          <w:szCs w:val="32"/>
        </w:rPr>
        <w:t>赛道三：电子与信息</w:t>
      </w:r>
      <w:r>
        <w:rPr>
          <w:rFonts w:hint="eastAsia" w:ascii="仿宋" w:hAnsi="仿宋" w:eastAsia="仿宋" w:cs="仿宋_GB2312"/>
          <w:b/>
          <w:bCs/>
          <w:sz w:val="32"/>
          <w:szCs w:val="32"/>
          <w:lang w:eastAsia="zh-CN"/>
        </w:rPr>
        <w:t>）</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ascii="仿宋" w:hAnsi="仿宋" w:eastAsia="仿宋" w:cs="仿宋"/>
                <w:b/>
                <w:bCs/>
                <w:kern w:val="0"/>
                <w:sz w:val="32"/>
                <w:szCs w:val="32"/>
              </w:rPr>
            </w:pPr>
            <w:r>
              <w:rPr>
                <w:rFonts w:hint="eastAsia" w:ascii="仿宋" w:hAnsi="仿宋" w:eastAsia="仿宋" w:cs="仿宋"/>
                <w:b/>
                <w:bCs/>
                <w:kern w:val="0"/>
                <w:sz w:val="28"/>
                <w:szCs w:val="28"/>
              </w:rPr>
              <w:t>主题：多模式能量采集与管理技术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9"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能量采集技术是从自然环境中收集热能、电磁能、机械能等各种形式能量的技术，近年来已成为低功率电子设备的一种无电池设计趋势，在物联网、工业控制、医疗电子等诸多领域获得广泛应用。与容量有限的常规电池相比，能量采集技术能够延长电子设备的运行，降低更换电池等设备维护成本，并有效减少对常规能源消耗。</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然而，能量采集所能够提供的电力输出的性能高度依赖于外界环境，强度较弱且具有随机性，必须结合优化的电源管理机制，才能为电子设备提供较为稳定、持续的能量供应。此外，结合多种类型的能量采集技术（例如同时收集光能和电磁能），可有效提高供电的稳定性。</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围绕“双碳”目标，以“绿色通信”为主题，针对物联网或无线传感网等低功率通信网络，提出一项创新设计项目，为人们的日常生活提供更加绿色、环保、低碳的通信服务。</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560" w:firstLineChars="200"/>
              <w:textAlignment w:val="auto"/>
              <w:rPr>
                <w:rFonts w:ascii="仿宋" w:hAnsi="仿宋" w:eastAsia="仿宋" w:cs="仿宋"/>
                <w:color w:val="0C0C0C"/>
                <w:kern w:val="0"/>
                <w:sz w:val="32"/>
                <w:szCs w:val="32"/>
              </w:rPr>
            </w:pPr>
            <w:r>
              <w:rPr>
                <w:rFonts w:hint="eastAsia" w:ascii="仿宋" w:hAnsi="仿宋" w:eastAsia="仿宋" w:cs="仿宋"/>
                <w:kern w:val="0"/>
                <w:sz w:val="28"/>
                <w:szCs w:val="28"/>
              </w:rPr>
              <w:t>本赛道聚焦于创新设计，设计方案需展现具体的设计项目，鼓励设计项目与科技成果相结合，设计形式包括而不限于产品设计、服务设计、视觉传达设计、社会创新设计、公共设施设计等。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3"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val="zh-TW"/>
              </w:rPr>
              <w:t>：</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1.基于能量采集的智慧城市或工业控制创新性应用设计</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2.在该应用中，融合多种（两种或以上）能量采集方式的电子设备终端供电设计方案</w:t>
            </w:r>
          </w:p>
          <w:p>
            <w:pPr>
              <w:keepNext w:val="0"/>
              <w:keepLines w:val="0"/>
              <w:pageBreakBefore w:val="0"/>
              <w:widowControl w:val="0"/>
              <w:kinsoku/>
              <w:wordWrap/>
              <w:overflowPunct/>
              <w:topLinePunct w:val="0"/>
              <w:autoSpaceDE/>
              <w:autoSpaceDN/>
              <w:bidi w:val="0"/>
              <w:adjustRightInd/>
              <w:snapToGrid w:val="0"/>
              <w:spacing w:before="0" w:after="0" w:line="312" w:lineRule="auto"/>
              <w:ind w:firstLine="0" w:firstLineChars="0"/>
              <w:textAlignment w:val="auto"/>
              <w:rPr>
                <w:rFonts w:ascii="仿宋" w:hAnsi="仿宋" w:eastAsia="仿宋" w:cs="仿宋"/>
                <w:kern w:val="0"/>
                <w:sz w:val="32"/>
                <w:szCs w:val="32"/>
              </w:rPr>
            </w:pPr>
            <w:r>
              <w:rPr>
                <w:rFonts w:hint="eastAsia" w:ascii="仿宋" w:hAnsi="仿宋" w:eastAsia="仿宋" w:cs="仿宋"/>
                <w:kern w:val="0"/>
                <w:sz w:val="28"/>
                <w:szCs w:val="28"/>
              </w:rPr>
              <w:t>3.在该应用中，提高能量使用效率和设备运行稳定性的电源管理设计方案</w:t>
            </w:r>
          </w:p>
        </w:tc>
      </w:tr>
    </w:tbl>
    <w:p>
      <w:pPr>
        <w:jc w:val="center"/>
        <w:rPr>
          <w:rFonts w:ascii="仿宋" w:hAnsi="仿宋" w:eastAsia="仿宋" w:cs="仿宋_GB2312"/>
          <w:b/>
          <w:bCs/>
          <w:sz w:val="32"/>
          <w:szCs w:val="32"/>
        </w:rPr>
      </w:pPr>
    </w:p>
    <w:p>
      <w:pPr>
        <w:widowControl/>
        <w:jc w:val="left"/>
        <w:rPr>
          <w:rFonts w:ascii="仿宋" w:hAnsi="仿宋" w:eastAsia="仿宋" w:cs="仿宋_GB2312"/>
          <w:b/>
          <w:bCs/>
          <w:sz w:val="32"/>
          <w:szCs w:val="32"/>
        </w:rPr>
      </w:pPr>
      <w:r>
        <w:rPr>
          <w:rFonts w:ascii="仿宋" w:hAnsi="仿宋" w:eastAsia="仿宋" w:cs="仿宋_GB2312"/>
          <w:b/>
          <w:bCs/>
          <w:sz w:val="32"/>
          <w:szCs w:val="32"/>
        </w:rPr>
        <w:br w:type="page"/>
      </w:r>
    </w:p>
    <w:p>
      <w:pPr>
        <w:jc w:val="center"/>
        <w:rPr>
          <w:rFonts w:ascii="仿宋" w:hAnsi="仿宋" w:eastAsia="仿宋" w:cs="仿宋_GB2312"/>
          <w:b/>
          <w:bCs/>
          <w:color w:val="000000"/>
          <w:sz w:val="32"/>
          <w:szCs w:val="32"/>
        </w:rPr>
      </w:pPr>
      <w:r>
        <w:rPr>
          <w:rFonts w:hint="eastAsia" w:ascii="仿宋" w:hAnsi="仿宋" w:eastAsia="仿宋" w:cs="仿宋_GB2312"/>
          <w:b/>
          <w:bCs/>
          <w:sz w:val="32"/>
          <w:szCs w:val="32"/>
        </w:rPr>
        <w:t>命题1</w:t>
      </w:r>
      <w:r>
        <w:rPr>
          <w:rFonts w:ascii="仿宋" w:hAnsi="仿宋" w:eastAsia="仿宋" w:cs="仿宋_GB2312"/>
          <w:b/>
          <w:bCs/>
          <w:sz w:val="32"/>
          <w:szCs w:val="32"/>
        </w:rPr>
        <w:t>4</w:t>
      </w:r>
      <w:r>
        <w:rPr>
          <w:rFonts w:hint="eastAsia" w:ascii="仿宋" w:hAnsi="仿宋" w:eastAsia="仿宋" w:cs="仿宋_GB2312"/>
          <w:b/>
          <w:bCs/>
          <w:sz w:val="32"/>
          <w:szCs w:val="32"/>
          <w:lang w:eastAsia="zh-CN"/>
        </w:rPr>
        <w:t>（</w:t>
      </w:r>
      <w:r>
        <w:rPr>
          <w:rFonts w:hint="eastAsia" w:ascii="仿宋" w:hAnsi="仿宋" w:eastAsia="仿宋" w:cs="仿宋_GB2312"/>
          <w:b/>
          <w:bCs/>
          <w:sz w:val="32"/>
          <w:szCs w:val="32"/>
        </w:rPr>
        <w:t>赛道三：电子与信息</w:t>
      </w:r>
      <w:r>
        <w:rPr>
          <w:rFonts w:hint="eastAsia" w:ascii="仿宋" w:hAnsi="仿宋" w:eastAsia="仿宋" w:cs="仿宋_GB2312"/>
          <w:b/>
          <w:bCs/>
          <w:sz w:val="32"/>
          <w:szCs w:val="32"/>
          <w:lang w:eastAsia="zh-CN"/>
        </w:rPr>
        <w:t>）</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ascii="仿宋" w:hAnsi="仿宋" w:eastAsia="仿宋" w:cs="仿宋"/>
                <w:b/>
                <w:bCs/>
                <w:kern w:val="0"/>
                <w:sz w:val="32"/>
                <w:szCs w:val="32"/>
              </w:rPr>
            </w:pPr>
            <w:r>
              <w:rPr>
                <w:rFonts w:hint="eastAsia" w:ascii="仿宋" w:hAnsi="仿宋" w:eastAsia="仿宋" w:cs="仿宋"/>
                <w:b/>
                <w:bCs/>
                <w:kern w:val="0"/>
                <w:sz w:val="28"/>
                <w:szCs w:val="28"/>
              </w:rPr>
              <w:t>主题：碳排放、碳汇的计量监测应用及解决方案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9"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ascii="仿宋" w:hAnsi="仿宋" w:eastAsia="仿宋" w:cs="仿宋"/>
                <w:color w:val="0C0C0C"/>
                <w:kern w:val="0"/>
                <w:sz w:val="32"/>
                <w:szCs w:val="32"/>
              </w:rPr>
            </w:pPr>
            <w:r>
              <w:rPr>
                <w:rFonts w:hint="eastAsia" w:ascii="仿宋" w:hAnsi="仿宋" w:eastAsia="仿宋" w:cs="仿宋"/>
                <w:kern w:val="0"/>
                <w:sz w:val="28"/>
                <w:szCs w:val="28"/>
              </w:rPr>
              <w:t>全球及地区碳排放和碳汇的计量监测</w:t>
            </w:r>
            <w:r>
              <w:rPr>
                <w:rFonts w:hint="eastAsia" w:ascii="仿宋" w:hAnsi="仿宋" w:eastAsia="仿宋" w:cs="仿宋"/>
                <w:kern w:val="0"/>
                <w:sz w:val="28"/>
                <w:szCs w:val="28"/>
                <w:lang w:eastAsia="zh-CN"/>
              </w:rPr>
              <w:t>成为</w:t>
            </w:r>
            <w:r>
              <w:rPr>
                <w:rFonts w:hint="eastAsia" w:ascii="仿宋" w:hAnsi="仿宋" w:eastAsia="仿宋" w:cs="仿宋"/>
                <w:kern w:val="0"/>
                <w:sz w:val="28"/>
                <w:szCs w:val="28"/>
              </w:rPr>
              <w:t>评估和跟踪碳中和进程的重要手段，可以帮助国家和地区制定有效的气候政策、监督和评估减排措施的实施效果，并为国际社会合作提供基础数据。为了实现全球和地区的碳排放和碳汇的计量监测，需要开发和应用各种技术和方法。这包括遥感技术、气象观测、地面测量和模型模拟等。同时，需要依据国际标准和规范，以确保监测结果的可比性和一致性。然而，全球及地区碳排放、碳汇的计量监测仍面临一些挑战。其中之一是数据质量和评价标准问题。要准确计量排放和吸收，需要可靠的数据来源和一致性的计量标准。另一个方面是监测覆盖的不完整性，一些特殊的碳排放源和碳汇地区，如极地地区、热带雨林等，由于环境复杂性和地理位置的限制，监测工作面临更大的困难。此外，技术和方法的不断发展也需要持续</w:t>
            </w:r>
            <w:r>
              <w:rPr>
                <w:rFonts w:hint="eastAsia" w:ascii="仿宋" w:hAnsi="仿宋" w:eastAsia="仿宋" w:cs="仿宋"/>
                <w:kern w:val="0"/>
                <w:sz w:val="28"/>
                <w:szCs w:val="28"/>
                <w:lang w:eastAsia="zh-CN"/>
              </w:rPr>
              <w:t>地</w:t>
            </w:r>
            <w:r>
              <w:rPr>
                <w:rFonts w:hint="eastAsia" w:ascii="仿宋" w:hAnsi="仿宋" w:eastAsia="仿宋" w:cs="仿宋"/>
                <w:kern w:val="0"/>
                <w:sz w:val="28"/>
                <w:szCs w:val="28"/>
              </w:rPr>
              <w:t>研究和创新，以提高计量监测的准确性和效率。在有效解决上述问题的基础上，通过全球和地区的碳排放和碳汇的计量监测应用，可以更好地理解和评估人类活动对气候变化的影响，为碳减排和碳增汇方案的制定提供科学依据。并且有助于推动可持续发展和低碳经济转型，保护生态环境，改善人类福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3"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eastAsia="zh-TW"/>
              </w:rPr>
            </w:pPr>
            <w:r>
              <w:rPr>
                <w:rFonts w:hint="eastAsia" w:ascii="仿宋" w:hAnsi="仿宋" w:eastAsia="仿宋" w:cs="仿宋"/>
                <w:b/>
                <w:bCs/>
                <w:kern w:val="0"/>
                <w:sz w:val="28"/>
                <w:szCs w:val="28"/>
                <w:lang w:val="zh-TW" w:eastAsia="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val="zh-TW" w:eastAsia="zh-TW"/>
              </w:rPr>
              <w:t>：</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1.大数据和人工智能在碳排放、碳汇监测中的应用</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2.基于遥感技术和物联网的监测系统构建</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3.碳循环模型的开发和改进</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4.碳排放和碳汇的区域特征和影响因素研究</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ascii="仿宋" w:hAnsi="仿宋" w:eastAsia="仿宋" w:cs="仿宋"/>
                <w:kern w:val="0"/>
                <w:sz w:val="32"/>
                <w:szCs w:val="32"/>
              </w:rPr>
            </w:pPr>
            <w:r>
              <w:rPr>
                <w:rFonts w:hint="eastAsia" w:ascii="仿宋" w:hAnsi="仿宋" w:eastAsia="仿宋" w:cs="仿宋"/>
                <w:kern w:val="0"/>
                <w:sz w:val="28"/>
                <w:szCs w:val="28"/>
              </w:rPr>
              <w:t>5.碳减排和碳增汇的策略研究</w:t>
            </w:r>
          </w:p>
        </w:tc>
      </w:tr>
    </w:tbl>
    <w:p>
      <w:pPr>
        <w:widowControl/>
        <w:jc w:val="center"/>
        <w:rPr>
          <w:rFonts w:ascii="仿宋" w:hAnsi="仿宋" w:eastAsia="仿宋" w:cs="仿宋_GB2312"/>
          <w:sz w:val="32"/>
          <w:szCs w:val="32"/>
        </w:rPr>
      </w:pPr>
      <w:r>
        <w:rPr>
          <w:rFonts w:ascii="仿宋" w:hAnsi="仿宋" w:eastAsia="仿宋" w:cs="仿宋_GB2312"/>
          <w:sz w:val="32"/>
          <w:szCs w:val="32"/>
        </w:rPr>
        <w:br w:type="page"/>
      </w:r>
      <w:r>
        <w:rPr>
          <w:rFonts w:hint="eastAsia" w:ascii="仿宋" w:hAnsi="仿宋" w:eastAsia="仿宋" w:cs="仿宋_GB2312"/>
          <w:b/>
          <w:bCs/>
          <w:sz w:val="32"/>
          <w:szCs w:val="32"/>
        </w:rPr>
        <w:t>命题1</w:t>
      </w:r>
      <w:r>
        <w:rPr>
          <w:rFonts w:ascii="仿宋" w:hAnsi="仿宋" w:eastAsia="仿宋" w:cs="仿宋_GB2312"/>
          <w:b/>
          <w:bCs/>
          <w:sz w:val="32"/>
          <w:szCs w:val="32"/>
        </w:rPr>
        <w:t>5</w:t>
      </w:r>
      <w:r>
        <w:rPr>
          <w:rFonts w:hint="eastAsia" w:ascii="仿宋" w:hAnsi="仿宋" w:eastAsia="仿宋" w:cs="仿宋_GB2312"/>
          <w:b/>
          <w:bCs/>
          <w:sz w:val="32"/>
          <w:szCs w:val="32"/>
          <w:lang w:eastAsia="zh-CN"/>
        </w:rPr>
        <w:t>（</w:t>
      </w:r>
      <w:r>
        <w:rPr>
          <w:rFonts w:hint="eastAsia" w:ascii="仿宋" w:hAnsi="仿宋" w:eastAsia="仿宋" w:cs="仿宋_GB2312"/>
          <w:b/>
          <w:bCs/>
          <w:sz w:val="32"/>
          <w:szCs w:val="32"/>
        </w:rPr>
        <w:t>赛道三：电子与信息</w:t>
      </w:r>
      <w:r>
        <w:rPr>
          <w:rFonts w:hint="eastAsia" w:ascii="仿宋" w:hAnsi="仿宋" w:eastAsia="仿宋" w:cs="仿宋_GB2312"/>
          <w:b/>
          <w:bCs/>
          <w:sz w:val="32"/>
          <w:szCs w:val="32"/>
          <w:lang w:eastAsia="zh-CN"/>
        </w:rPr>
        <w:t>）</w:t>
      </w:r>
    </w:p>
    <w:tbl>
      <w:tblPr>
        <w:tblStyle w:val="3"/>
        <w:tblW w:w="0" w:type="auto"/>
        <w:tblInd w:w="1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8" w:type="dxa"/>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textAlignment w:val="auto"/>
              <w:rPr>
                <w:rFonts w:ascii="仿宋" w:hAnsi="仿宋" w:eastAsia="仿宋" w:cs="Times New Roman"/>
                <w:kern w:val="0"/>
                <w:sz w:val="32"/>
                <w:szCs w:val="32"/>
              </w:rPr>
            </w:pPr>
            <w:r>
              <w:rPr>
                <w:rFonts w:hint="eastAsia" w:ascii="仿宋" w:hAnsi="仿宋" w:eastAsia="仿宋" w:cs="仿宋"/>
                <w:b/>
                <w:bCs/>
                <w:kern w:val="0"/>
                <w:sz w:val="28"/>
                <w:szCs w:val="28"/>
              </w:rPr>
              <w:t>主题：</w:t>
            </w:r>
            <w:bookmarkStart w:id="2" w:name="_Hlk136447372"/>
            <w:r>
              <w:rPr>
                <w:rFonts w:hint="eastAsia" w:ascii="仿宋" w:hAnsi="仿宋" w:eastAsia="仿宋" w:cs="仿宋"/>
                <w:b/>
                <w:bCs/>
                <w:kern w:val="0"/>
                <w:sz w:val="28"/>
                <w:szCs w:val="28"/>
              </w:rPr>
              <w:t>城镇低碳智慧供热（供冷）技术</w:t>
            </w:r>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8"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随着我国“双碳”战略的持续推进，在构建清洁低碳、安全高效能源体系与大力发展清洁能源供热的新时代背景下，供热行业节能转型势在必行。供热行业发展正式向清洁低碳、高效灵活的智慧供热迈进。随着数字化转型升级深入推进，以信息技术与人工智能技术推动供热技术智慧升级，实现智慧供热，是提高能源利用率的重要手段。</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智慧供热致力于打造基于新一代人工智能、物联网、5G</w:t>
            </w:r>
            <w:r>
              <w:rPr>
                <w:rFonts w:hint="eastAsia" w:ascii="仿宋" w:hAnsi="仿宋" w:eastAsia="仿宋" w:cs="仿宋"/>
                <w:kern w:val="0"/>
                <w:sz w:val="28"/>
                <w:szCs w:val="28"/>
                <w:lang w:eastAsia="zh-CN"/>
              </w:rPr>
              <w:t>通信以及</w:t>
            </w:r>
            <w:r>
              <w:rPr>
                <w:rFonts w:hint="eastAsia" w:ascii="仿宋" w:hAnsi="仿宋" w:eastAsia="仿宋" w:cs="仿宋"/>
                <w:kern w:val="0"/>
                <w:sz w:val="28"/>
                <w:szCs w:val="28"/>
              </w:rPr>
              <w:t>大数据、云计算等信息技术的综合解决方案。通过运用感知技术、空间定位、物联网等技术全面连接供热系统中的热源、热网、热力站、热用户和终端智能设备，充分利用大数据、云计算、人工智能等技术优化控制供热系统中的各个设备，实现节能降耗、全面管理运行；实现大数据的实时监管、量化，数据化房屋能耗诊断</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实现节能环保、能源利用率最佳的供热愿景。</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ascii="仿宋" w:hAnsi="仿宋" w:eastAsia="仿宋" w:cs="仿宋"/>
                <w:kern w:val="0"/>
                <w:sz w:val="32"/>
                <w:szCs w:val="32"/>
              </w:rPr>
            </w:pPr>
            <w:r>
              <w:rPr>
                <w:rFonts w:hint="eastAsia" w:ascii="仿宋" w:hAnsi="仿宋" w:eastAsia="仿宋" w:cs="仿宋"/>
                <w:kern w:val="0"/>
                <w:sz w:val="28"/>
                <w:szCs w:val="28"/>
              </w:rPr>
              <w:t>智慧供热符合国家节能减排、可持续发展理念，可以最大限度</w:t>
            </w:r>
            <w:r>
              <w:rPr>
                <w:rFonts w:hint="eastAsia" w:ascii="仿宋" w:hAnsi="仿宋" w:eastAsia="仿宋" w:cs="仿宋"/>
                <w:kern w:val="0"/>
                <w:sz w:val="28"/>
                <w:szCs w:val="28"/>
                <w:lang w:eastAsia="zh-CN"/>
              </w:rPr>
              <w:t>地</w:t>
            </w:r>
            <w:r>
              <w:rPr>
                <w:rFonts w:hint="eastAsia" w:ascii="仿宋" w:hAnsi="仿宋" w:eastAsia="仿宋" w:cs="仿宋"/>
                <w:kern w:val="0"/>
                <w:sz w:val="28"/>
                <w:szCs w:val="28"/>
              </w:rPr>
              <w:t>实现节能和减少碳排放，对于能源节约和减少碳排放等方面都具有重要现实意义，可以为“碳达峰、碳中和”重大战略目标的实现提供助力。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8"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关注方向：</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智慧供热（供冷）系统评价体系</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2.智慧供热（供冷）系统实现技术及架构</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3.智慧供热（供冷）系统数字化平台建设</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4.智慧供热（供冷）系统调控与运维</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ascii="仿宋" w:hAnsi="仿宋" w:eastAsia="仿宋" w:cs="仿宋"/>
                <w:kern w:val="0"/>
                <w:sz w:val="32"/>
                <w:szCs w:val="32"/>
              </w:rPr>
            </w:pPr>
            <w:r>
              <w:rPr>
                <w:rFonts w:hint="eastAsia" w:ascii="仿宋" w:hAnsi="仿宋" w:eastAsia="仿宋" w:cs="仿宋"/>
                <w:kern w:val="0"/>
                <w:sz w:val="28"/>
                <w:szCs w:val="28"/>
              </w:rPr>
              <w:t>5.智慧供热（供冷）建筑能源一体化系统方案</w:t>
            </w:r>
          </w:p>
        </w:tc>
      </w:tr>
    </w:tbl>
    <w:p>
      <w:pPr>
        <w:rPr>
          <w:rFonts w:ascii="仿宋" w:hAnsi="仿宋" w:eastAsia="仿宋" w:cs="仿宋_GB2312"/>
          <w:sz w:val="32"/>
          <w:szCs w:val="32"/>
        </w:rPr>
      </w:pPr>
    </w:p>
    <w:p>
      <w:pPr>
        <w:widowControl/>
        <w:jc w:val="left"/>
        <w:rPr>
          <w:rFonts w:ascii="仿宋" w:hAnsi="仿宋" w:eastAsia="仿宋" w:cs="仿宋_GB2312"/>
          <w:b/>
          <w:bCs/>
          <w:sz w:val="32"/>
          <w:szCs w:val="32"/>
        </w:rPr>
      </w:pPr>
      <w:r>
        <w:rPr>
          <w:rFonts w:ascii="仿宋" w:hAnsi="仿宋" w:eastAsia="仿宋" w:cs="仿宋_GB2312"/>
          <w:b/>
          <w:bCs/>
          <w:sz w:val="32"/>
          <w:szCs w:val="32"/>
        </w:rPr>
        <w:br w:type="page"/>
      </w:r>
    </w:p>
    <w:p>
      <w:pPr>
        <w:snapToGrid w:val="0"/>
        <w:spacing w:before="120" w:beforeLines="50" w:after="120" w:afterLines="50" w:line="500" w:lineRule="exact"/>
        <w:jc w:val="center"/>
        <w:rPr>
          <w:rFonts w:ascii="仿宋" w:hAnsi="仿宋" w:eastAsia="仿宋" w:cs="仿宋_GB2312"/>
          <w:b/>
          <w:bCs/>
          <w:sz w:val="32"/>
          <w:szCs w:val="32"/>
        </w:rPr>
      </w:pPr>
      <w:r>
        <w:rPr>
          <w:rFonts w:hint="eastAsia" w:ascii="仿宋" w:hAnsi="仿宋" w:eastAsia="仿宋" w:cs="仿宋_GB2312"/>
          <w:b/>
          <w:bCs/>
          <w:sz w:val="32"/>
          <w:szCs w:val="32"/>
        </w:rPr>
        <w:t>命题1</w:t>
      </w:r>
      <w:r>
        <w:rPr>
          <w:rFonts w:ascii="仿宋" w:hAnsi="仿宋" w:eastAsia="仿宋" w:cs="仿宋_GB2312"/>
          <w:b/>
          <w:bCs/>
          <w:sz w:val="32"/>
          <w:szCs w:val="32"/>
        </w:rPr>
        <w:t>6</w:t>
      </w:r>
      <w:r>
        <w:rPr>
          <w:rFonts w:hint="eastAsia" w:ascii="仿宋" w:hAnsi="仿宋" w:eastAsia="仿宋" w:cs="仿宋_GB2312"/>
          <w:b/>
          <w:bCs/>
          <w:sz w:val="32"/>
          <w:szCs w:val="32"/>
        </w:rPr>
        <w:t>（赛道四：设计与制造）</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5" w:hRule="atLeast"/>
          <w:jc w:val="center"/>
        </w:trPr>
        <w:tc>
          <w:tcPr>
            <w:tcW w:w="8317"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b/>
                <w:bCs/>
                <w:kern w:val="0"/>
                <w:sz w:val="32"/>
                <w:szCs w:val="32"/>
              </w:rPr>
            </w:pPr>
            <w:r>
              <w:rPr>
                <w:rFonts w:hint="eastAsia" w:ascii="仿宋" w:hAnsi="仿宋" w:eastAsia="仿宋" w:cs="仿宋"/>
                <w:b/>
                <w:bCs/>
                <w:kern w:val="0"/>
                <w:sz w:val="28"/>
                <w:szCs w:val="28"/>
              </w:rPr>
              <w:t>主题：绿色建筑（室内）与智慧科技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9" w:hRule="atLeast"/>
          <w:jc w:val="center"/>
        </w:trPr>
        <w:tc>
          <w:tcPr>
            <w:tcW w:w="8317"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建筑在中国社会总能耗中的占比可达到30%</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40%，如何进行建筑的节能减排，是实现碳中和的重要问题。针对这一问题，需要通过提升建筑自身节能水平、优化建筑能源系统效率与增强建筑用能柔性调节能力等路径协同实现。其中，建筑用能的柔性调节主要是指建筑可以通过负荷转移、负荷中断及有效储能等方式改变自身用能曲线，提升与可再生能源发电曲线的时间匹配度，增加可再生能源的实际消纳，降低碳排放。随着信息科技的不断发展，如何利用当下的智慧技术，与绿色建筑技术进行交叉融合，创新性</w:t>
            </w:r>
            <w:r>
              <w:rPr>
                <w:rFonts w:hint="eastAsia" w:ascii="仿宋" w:hAnsi="仿宋" w:eastAsia="仿宋" w:cs="仿宋"/>
                <w:kern w:val="0"/>
                <w:sz w:val="28"/>
                <w:szCs w:val="28"/>
                <w:lang w:eastAsia="zh-CN"/>
              </w:rPr>
              <w:t>地</w:t>
            </w:r>
            <w:r>
              <w:rPr>
                <w:rFonts w:hint="eastAsia" w:ascii="仿宋" w:hAnsi="仿宋" w:eastAsia="仿宋" w:cs="仿宋"/>
                <w:kern w:val="0"/>
                <w:sz w:val="28"/>
                <w:szCs w:val="28"/>
              </w:rPr>
              <w:t>解决建筑节能减排问题，从而实现建筑领域的“双碳”目标呢？</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ascii="仿宋" w:hAnsi="仿宋" w:eastAsia="仿宋" w:cs="仿宋"/>
                <w:b/>
                <w:bCs/>
                <w:kern w:val="0"/>
                <w:sz w:val="32"/>
                <w:szCs w:val="32"/>
              </w:rPr>
            </w:pPr>
            <w:r>
              <w:rPr>
                <w:rFonts w:hint="eastAsia" w:ascii="仿宋" w:hAnsi="仿宋" w:eastAsia="仿宋" w:cs="仿宋"/>
                <w:kern w:val="0"/>
                <w:sz w:val="28"/>
                <w:szCs w:val="28"/>
              </w:rPr>
              <w:t>拟通过本主题，合众之力，结合智慧科技，推动绿色建筑技术的发展，帮助建筑节能减排问题的解决，助力零碳建筑的实现。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6" w:hRule="atLeast"/>
          <w:jc w:val="center"/>
        </w:trPr>
        <w:tc>
          <w:tcPr>
            <w:tcW w:w="8317"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eastAsia="zh-CN"/>
              </w:rPr>
              <w:t>（</w:t>
            </w:r>
            <w:r>
              <w:rPr>
                <w:rFonts w:hint="eastAsia" w:ascii="仿宋" w:hAnsi="仿宋" w:eastAsia="仿宋" w:cs="仿宋"/>
                <w:b/>
                <w:bCs/>
                <w:kern w:val="0"/>
                <w:sz w:val="28"/>
                <w:szCs w:val="28"/>
                <w:lang w:val="en-US" w:eastAsia="zh-CN"/>
              </w:rPr>
              <w:t>设计需结合节能减排量化分析</w:t>
            </w:r>
            <w:r>
              <w:rPr>
                <w:rFonts w:hint="eastAsia" w:ascii="仿宋" w:hAnsi="仿宋" w:eastAsia="仿宋" w:cs="仿宋"/>
                <w:b/>
                <w:bCs/>
                <w:kern w:val="0"/>
                <w:sz w:val="28"/>
                <w:szCs w:val="28"/>
                <w:lang w:eastAsia="zh-CN"/>
              </w:rPr>
              <w:t>）</w:t>
            </w:r>
            <w:r>
              <w:rPr>
                <w:rFonts w:hint="eastAsia" w:ascii="仿宋" w:hAnsi="仿宋" w:eastAsia="仿宋" w:cs="仿宋"/>
                <w:b/>
                <w:bCs/>
                <w:kern w:val="0"/>
                <w:sz w:val="28"/>
                <w:szCs w:val="28"/>
                <w:lang w:val="zh-TW"/>
              </w:rPr>
              <w:t>：</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1.智慧节能建筑</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2.建筑节能设备</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ascii="仿宋" w:hAnsi="仿宋" w:eastAsia="仿宋" w:cs="仿宋"/>
                <w:b/>
                <w:bCs/>
                <w:kern w:val="0"/>
                <w:sz w:val="32"/>
                <w:szCs w:val="32"/>
              </w:rPr>
            </w:pPr>
            <w:r>
              <w:rPr>
                <w:rFonts w:hint="eastAsia" w:ascii="仿宋" w:hAnsi="仿宋" w:eastAsia="仿宋" w:cs="仿宋"/>
                <w:kern w:val="0"/>
                <w:sz w:val="28"/>
                <w:szCs w:val="28"/>
              </w:rPr>
              <w:t>3.建筑内用能的柔性调节</w:t>
            </w:r>
          </w:p>
        </w:tc>
      </w:tr>
    </w:tbl>
    <w:p>
      <w:pPr>
        <w:rPr>
          <w:rFonts w:ascii="仿宋" w:hAnsi="仿宋" w:eastAsia="仿宋" w:cs="仿宋_GB2312"/>
          <w:sz w:val="32"/>
          <w:szCs w:val="32"/>
        </w:rPr>
      </w:pPr>
    </w:p>
    <w:p>
      <w:pPr>
        <w:widowControl/>
        <w:jc w:val="left"/>
        <w:rPr>
          <w:rFonts w:ascii="仿宋" w:hAnsi="仿宋" w:eastAsia="仿宋" w:cs="仿宋_GB2312"/>
          <w:b/>
          <w:bCs/>
          <w:sz w:val="32"/>
          <w:szCs w:val="32"/>
        </w:rPr>
      </w:pPr>
      <w:r>
        <w:rPr>
          <w:rFonts w:ascii="仿宋" w:hAnsi="仿宋" w:eastAsia="仿宋" w:cs="仿宋_GB2312"/>
          <w:b/>
          <w:bCs/>
          <w:sz w:val="32"/>
          <w:szCs w:val="32"/>
        </w:rPr>
        <w:br w:type="page"/>
      </w:r>
    </w:p>
    <w:p>
      <w:pPr>
        <w:snapToGrid w:val="0"/>
        <w:spacing w:before="120" w:beforeLines="50" w:after="120" w:afterLines="50" w:line="500" w:lineRule="exact"/>
        <w:jc w:val="center"/>
        <w:rPr>
          <w:rFonts w:ascii="仿宋" w:hAnsi="仿宋" w:eastAsia="仿宋" w:cs="仿宋_GB2312"/>
          <w:b/>
          <w:bCs/>
          <w:sz w:val="32"/>
          <w:szCs w:val="32"/>
        </w:rPr>
      </w:pPr>
      <w:r>
        <w:rPr>
          <w:rFonts w:hint="eastAsia" w:ascii="仿宋" w:hAnsi="仿宋" w:eastAsia="仿宋" w:cs="仿宋_GB2312"/>
          <w:b/>
          <w:bCs/>
          <w:sz w:val="32"/>
          <w:szCs w:val="32"/>
        </w:rPr>
        <w:t>命题</w:t>
      </w:r>
      <w:r>
        <w:rPr>
          <w:rFonts w:ascii="仿宋" w:hAnsi="仿宋" w:eastAsia="仿宋" w:cs="仿宋_GB2312"/>
          <w:b/>
          <w:bCs/>
          <w:sz w:val="32"/>
          <w:szCs w:val="32"/>
        </w:rPr>
        <w:t>17</w:t>
      </w:r>
      <w:r>
        <w:rPr>
          <w:rFonts w:hint="eastAsia" w:ascii="仿宋" w:hAnsi="仿宋" w:eastAsia="仿宋" w:cs="仿宋_GB2312"/>
          <w:b/>
          <w:bCs/>
          <w:sz w:val="32"/>
          <w:szCs w:val="32"/>
        </w:rPr>
        <w:t>（赛道四：设计与制造）</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bCs/>
                <w:kern w:val="0"/>
                <w:sz w:val="32"/>
                <w:szCs w:val="32"/>
              </w:rPr>
            </w:pPr>
            <w:r>
              <w:rPr>
                <w:rFonts w:hint="eastAsia" w:ascii="仿宋" w:hAnsi="仿宋" w:eastAsia="仿宋" w:cs="仿宋"/>
                <w:b/>
                <w:bCs/>
                <w:kern w:val="0"/>
                <w:sz w:val="28"/>
                <w:szCs w:val="28"/>
              </w:rPr>
              <w:t>主题：低碳制造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4"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背景情况概述：</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实现双碳目标的策略，主要有三种：节能减排、能源替代、技术升级。各行各业节能减排是“碳达峰”的重要手段，而能源替代是“碳中和”的主要途径，技术升级则是“双碳”目标实现的关键。</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制造业是实现“双碳”目标的重要环节，我们提倡“低碳制造”。</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1.节能减排，建立产品全生命周期的碳排放模型，分析产品中的碳足迹和碳成本，从碳排放整体考虑优化产品的制造、流通等环节。</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2.能源替代，搭建绿色生产平台，比如使用太阳能、风能等新能源降低化石能源的消耗。</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3.技术升级，采用数字化、机器人、人工智能、精益制造、增材制造（3D打印）等技术对制造生产中高能耗环节进行技术改造和升级，实现减碳的目的。</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ascii="仿宋" w:hAnsi="仿宋" w:eastAsia="仿宋" w:cs="仿宋"/>
                <w:kern w:val="0"/>
                <w:sz w:val="32"/>
                <w:szCs w:val="32"/>
              </w:rPr>
            </w:pPr>
            <w:r>
              <w:rPr>
                <w:rFonts w:hint="eastAsia" w:ascii="仿宋" w:hAnsi="仿宋" w:eastAsia="仿宋" w:cs="仿宋"/>
                <w:kern w:val="0"/>
                <w:sz w:val="28"/>
                <w:szCs w:val="28"/>
              </w:rPr>
              <w:t>制造业包含的行业范围很大，参赛者可以结合自己熟悉的行业，从节能减排、能源替代和技术升级三个方面进行创意设计，实现低碳制造。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7"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关注方向：</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1.特定产品全生命周期过程中碳排量的统计、测量、定价方法，如碳足迹等</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2.特定制造行业的碳排放分析和优化技术</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3.特定制造行业绿色生产制造平台技术</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ascii="仿宋" w:hAnsi="仿宋" w:eastAsia="仿宋" w:cs="仿宋"/>
                <w:kern w:val="0"/>
                <w:sz w:val="32"/>
                <w:szCs w:val="32"/>
              </w:rPr>
            </w:pPr>
            <w:r>
              <w:rPr>
                <w:rFonts w:hint="eastAsia" w:ascii="仿宋" w:hAnsi="仿宋" w:eastAsia="仿宋" w:cs="仿宋"/>
                <w:kern w:val="0"/>
                <w:sz w:val="28"/>
                <w:szCs w:val="28"/>
              </w:rPr>
              <w:t>4.特定制造环节技术升级及其碳排放消耗对比分析</w:t>
            </w:r>
          </w:p>
        </w:tc>
      </w:tr>
    </w:tbl>
    <w:p>
      <w:pPr>
        <w:jc w:val="center"/>
        <w:rPr>
          <w:rFonts w:ascii="仿宋" w:hAnsi="仿宋" w:eastAsia="仿宋" w:cs="仿宋_GB2312"/>
          <w:b/>
          <w:bCs/>
          <w:sz w:val="32"/>
          <w:szCs w:val="32"/>
        </w:rPr>
      </w:pPr>
      <w:r>
        <w:rPr>
          <w:rFonts w:ascii="仿宋" w:hAnsi="仿宋" w:eastAsia="仿宋" w:cs="仿宋_GB2312"/>
          <w:sz w:val="32"/>
          <w:szCs w:val="32"/>
        </w:rPr>
        <w:br w:type="page"/>
      </w:r>
      <w:r>
        <w:rPr>
          <w:rFonts w:hint="eastAsia" w:ascii="仿宋" w:hAnsi="仿宋" w:eastAsia="仿宋" w:cs="仿宋_GB2312"/>
          <w:b/>
          <w:bCs/>
          <w:sz w:val="32"/>
          <w:szCs w:val="32"/>
        </w:rPr>
        <w:t>命题1</w:t>
      </w:r>
      <w:r>
        <w:rPr>
          <w:rFonts w:ascii="仿宋" w:hAnsi="仿宋" w:eastAsia="仿宋" w:cs="仿宋_GB2312"/>
          <w:b/>
          <w:bCs/>
          <w:sz w:val="32"/>
          <w:szCs w:val="32"/>
        </w:rPr>
        <w:t>8</w:t>
      </w:r>
      <w:r>
        <w:rPr>
          <w:rFonts w:hint="eastAsia" w:ascii="仿宋" w:hAnsi="仿宋" w:eastAsia="仿宋" w:cs="仿宋_GB2312"/>
          <w:b/>
          <w:bCs/>
          <w:sz w:val="32"/>
          <w:szCs w:val="32"/>
          <w:lang w:eastAsia="zh-CN"/>
        </w:rPr>
        <w:t>（</w:t>
      </w:r>
      <w:r>
        <w:rPr>
          <w:rFonts w:hint="eastAsia" w:ascii="仿宋" w:hAnsi="仿宋" w:eastAsia="仿宋" w:cs="仿宋_GB2312"/>
          <w:b/>
          <w:bCs/>
          <w:sz w:val="32"/>
          <w:szCs w:val="32"/>
        </w:rPr>
        <w:t>赛道四：设计与制造</w:t>
      </w:r>
      <w:r>
        <w:rPr>
          <w:rFonts w:hint="eastAsia" w:ascii="仿宋" w:hAnsi="仿宋" w:eastAsia="仿宋" w:cs="仿宋_GB2312"/>
          <w:b/>
          <w:bCs/>
          <w:sz w:val="32"/>
          <w:szCs w:val="32"/>
          <w:lang w:eastAsia="zh-CN"/>
        </w:rPr>
        <w:t>）</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kern w:val="0"/>
                <w:sz w:val="32"/>
                <w:szCs w:val="32"/>
              </w:rPr>
            </w:pPr>
            <w:r>
              <w:rPr>
                <w:rFonts w:hint="eastAsia" w:ascii="仿宋" w:hAnsi="仿宋" w:eastAsia="仿宋" w:cs="仿宋"/>
                <w:b/>
                <w:bCs/>
                <w:kern w:val="0"/>
                <w:sz w:val="28"/>
                <w:szCs w:val="28"/>
              </w:rPr>
              <w:t>主题：构筑智能化产品设计制造生产线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9"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背景情况概述：</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双碳达标与社会生产生活密切相关。工业社会之前人类的生产生活就是一种生态低碳的方式，工业革命导致大规模社会化大生产、同时也带来行业的细分，生活必备品的生产制造也失去了手工作坊的工匠劳作模式，如集“量体</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打样</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制作”为一体的裁缝制衣，变成了“服装设计</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批量加工”的服装生产方式；“根据需求</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就地取材</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特色木工细活”的家具制作过程，变成了“家具设计</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部件批量定制</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集合装配”的家具生产工业；“因地制宜-因材就用</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工匠砌筑-自然装饰”的自主建房途径，变成了“专业设计师设计</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工厂构件加工</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施工队现场施工”的大规模房屋建造工业。因此也带来了巨量能耗、环境污染、破坏生态、不可持续等等问题痼疾，当人类反思，如今渴望回归之前生态低碳的生产生活状态。</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新科学新技术的突飞猛进正在推动人类步入智能社会，智能技术有可能使人类重返通过“人力”来满足生产生活需求的社会，当然，这个人力是机器人的力量，智能系统及智能机器将彻底解放人类，它们将替代人类进行高效节能、精致高质、低碳环保的生产制造，人们又可以回到生态低碳的慢生活境地。这样，社会生产及社会生活将彻底结束高排放高耗能的时代，最终实现双碳达标。</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ascii="仿宋" w:hAnsi="仿宋" w:eastAsia="仿宋" w:cs="仿宋"/>
                <w:kern w:val="0"/>
                <w:sz w:val="32"/>
                <w:szCs w:val="32"/>
              </w:rPr>
            </w:pPr>
            <w:r>
              <w:rPr>
                <w:rFonts w:hint="eastAsia" w:ascii="仿宋" w:hAnsi="仿宋" w:eastAsia="仿宋" w:cs="仿宋"/>
                <w:kern w:val="0"/>
                <w:sz w:val="28"/>
                <w:szCs w:val="28"/>
              </w:rPr>
              <w:t>为此，本</w:t>
            </w:r>
            <w:r>
              <w:rPr>
                <w:rFonts w:hint="eastAsia" w:ascii="仿宋" w:hAnsi="仿宋" w:eastAsia="仿宋" w:cs="仿宋"/>
                <w:kern w:val="0"/>
                <w:sz w:val="28"/>
                <w:szCs w:val="28"/>
                <w:lang w:val="en-US" w:eastAsia="zh-CN"/>
              </w:rPr>
              <w:t>赛题</w:t>
            </w:r>
            <w:r>
              <w:rPr>
                <w:rFonts w:hint="eastAsia" w:ascii="仿宋" w:hAnsi="仿宋" w:eastAsia="仿宋" w:cs="仿宋"/>
                <w:kern w:val="0"/>
                <w:sz w:val="28"/>
                <w:szCs w:val="28"/>
              </w:rPr>
              <w:t>要求参赛者提交建设性方案，构筑智能化产品设计制造生产线，为即将到来的智能化生产生活社会进行积极的准备。参赛者可以从衣食住行任一行业出发，构想一条产品生产线，它应该基于智能技术、应该是某一</w:t>
            </w:r>
            <w:r>
              <w:rPr>
                <w:rFonts w:hint="eastAsia" w:ascii="仿宋" w:hAnsi="仿宋" w:eastAsia="仿宋" w:cs="仿宋"/>
                <w:kern w:val="0"/>
                <w:sz w:val="28"/>
                <w:szCs w:val="28"/>
                <w:lang w:eastAsia="zh-CN"/>
              </w:rPr>
              <w:t>生活必需品</w:t>
            </w:r>
            <w:r>
              <w:rPr>
                <w:rFonts w:hint="eastAsia" w:ascii="仿宋" w:hAnsi="仿宋" w:eastAsia="仿宋" w:cs="仿宋"/>
                <w:kern w:val="0"/>
                <w:sz w:val="28"/>
                <w:szCs w:val="28"/>
              </w:rPr>
              <w:t>的设计制造全过程集约型生产线，它是一种新型的社会生产组织方式，是一种高效节能、生态环保的产品设计制造或设计建造工艺模式</w:t>
            </w:r>
            <w:r>
              <w:rPr>
                <w:rFonts w:hint="eastAsia" w:ascii="仿宋" w:hAnsi="仿宋" w:eastAsia="仿宋" w:cs="仿宋"/>
                <w:kern w:val="0"/>
                <w:sz w:val="28"/>
                <w:szCs w:val="28"/>
                <w:lang w:eastAsia="zh-CN"/>
              </w:rPr>
              <w:t>（</w:t>
            </w:r>
            <w:r>
              <w:rPr>
                <w:rFonts w:hint="eastAsia" w:ascii="仿宋" w:hAnsi="仿宋" w:eastAsia="仿宋" w:cs="仿宋"/>
                <w:kern w:val="0"/>
                <w:sz w:val="28"/>
                <w:szCs w:val="28"/>
                <w:lang w:val="en-US" w:eastAsia="zh-CN"/>
              </w:rPr>
              <w:t>设计需结合节能减排量化分析</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w:t>
            </w:r>
          </w:p>
        </w:tc>
      </w:tr>
    </w:tbl>
    <w:p>
      <w:pPr>
        <w:widowControl/>
        <w:jc w:val="left"/>
        <w:rPr>
          <w:rFonts w:ascii="仿宋" w:hAnsi="仿宋" w:eastAsia="仿宋" w:cs="仿宋_GB2312"/>
          <w:sz w:val="32"/>
          <w:szCs w:val="32"/>
        </w:rPr>
      </w:pPr>
    </w:p>
    <w:p>
      <w:pPr>
        <w:widowControl/>
        <w:jc w:val="left"/>
        <w:rPr>
          <w:rFonts w:ascii="仿宋_GB2312" w:hAnsi="仿宋_GB2312" w:eastAsia="仿宋_GB2312" w:cs="仿宋_GB2312"/>
          <w:b/>
          <w:bCs/>
          <w:sz w:val="36"/>
          <w:szCs w:val="36"/>
        </w:rPr>
      </w:pPr>
      <w:r>
        <w:rPr>
          <w:rFonts w:ascii="仿宋_GB2312" w:hAnsi="仿宋_GB2312" w:eastAsia="仿宋_GB2312" w:cs="仿宋_GB2312"/>
          <w:b/>
          <w:bCs/>
          <w:sz w:val="36"/>
          <w:szCs w:val="36"/>
        </w:rPr>
        <w:br w:type="page"/>
      </w:r>
    </w:p>
    <w:p>
      <w:pPr>
        <w:snapToGrid w:val="0"/>
        <w:spacing w:before="120" w:beforeLines="50" w:after="120" w:afterLines="50" w:line="500" w:lineRule="exact"/>
        <w:jc w:val="center"/>
        <w:rPr>
          <w:rFonts w:ascii="仿宋_GB2312" w:hAnsi="仿宋_GB2312" w:eastAsia="仿宋_GB2312" w:cs="仿宋_GB2312"/>
          <w:b/>
          <w:bCs/>
          <w:sz w:val="36"/>
          <w:szCs w:val="36"/>
        </w:rPr>
      </w:pPr>
      <w:bookmarkStart w:id="3" w:name="_Hlk137116890"/>
      <w:r>
        <w:rPr>
          <w:rFonts w:hint="eastAsia" w:ascii="仿宋" w:hAnsi="仿宋" w:eastAsia="仿宋" w:cs="仿宋_GB2312"/>
          <w:b/>
          <w:bCs/>
          <w:sz w:val="32"/>
          <w:szCs w:val="32"/>
        </w:rPr>
        <w:t>命题1</w:t>
      </w:r>
      <w:r>
        <w:rPr>
          <w:rFonts w:ascii="仿宋" w:hAnsi="仿宋" w:eastAsia="仿宋" w:cs="仿宋_GB2312"/>
          <w:b/>
          <w:bCs/>
          <w:sz w:val="32"/>
          <w:szCs w:val="32"/>
        </w:rPr>
        <w:t>9</w:t>
      </w:r>
      <w:r>
        <w:rPr>
          <w:rFonts w:hint="eastAsia" w:ascii="仿宋" w:hAnsi="仿宋" w:eastAsia="仿宋" w:cs="仿宋_GB2312"/>
          <w:b/>
          <w:bCs/>
          <w:sz w:val="32"/>
          <w:szCs w:val="32"/>
          <w:lang w:eastAsia="zh-CN"/>
        </w:rPr>
        <w:t>（</w:t>
      </w:r>
      <w:r>
        <w:rPr>
          <w:rFonts w:hint="eastAsia" w:ascii="仿宋" w:hAnsi="仿宋" w:eastAsia="仿宋" w:cs="仿宋_GB2312"/>
          <w:b/>
          <w:bCs/>
          <w:sz w:val="32"/>
          <w:szCs w:val="32"/>
        </w:rPr>
        <w:t>赛道四：设计与制造</w:t>
      </w:r>
      <w:r>
        <w:rPr>
          <w:rFonts w:hint="eastAsia" w:ascii="仿宋" w:hAnsi="仿宋" w:eastAsia="仿宋" w:cs="仿宋_GB2312"/>
          <w:b/>
          <w:bCs/>
          <w:sz w:val="32"/>
          <w:szCs w:val="32"/>
          <w:lang w:eastAsia="zh-CN"/>
        </w:rPr>
        <w:t>）</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宋体"/>
                <w:b/>
                <w:bCs/>
                <w:kern w:val="0"/>
                <w:sz w:val="28"/>
                <w:szCs w:val="28"/>
              </w:rPr>
            </w:pPr>
            <w:r>
              <w:rPr>
                <w:rFonts w:hint="eastAsia" w:ascii="仿宋" w:hAnsi="仿宋" w:eastAsia="仿宋" w:cs="仿宋"/>
                <w:b/>
                <w:bCs/>
                <w:kern w:val="0"/>
                <w:sz w:val="28"/>
                <w:szCs w:val="28"/>
              </w:rPr>
              <w:t>主题：</w:t>
            </w:r>
            <w:bookmarkStart w:id="4" w:name="_Hlk137217351"/>
            <w:r>
              <w:rPr>
                <w:rFonts w:hint="eastAsia" w:ascii="仿宋" w:hAnsi="仿宋" w:eastAsia="仿宋" w:cs="仿宋"/>
                <w:b/>
                <w:bCs/>
                <w:kern w:val="0"/>
                <w:sz w:val="28"/>
                <w:szCs w:val="28"/>
              </w:rPr>
              <w:t>面向制冷系统节能低碳的新型装备设计与开发</w:t>
            </w:r>
            <w:bookmarkEnd w:id="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1"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eastAsia="zh-CN"/>
              </w:rPr>
            </w:pPr>
            <w:r>
              <w:rPr>
                <w:rFonts w:hint="eastAsia" w:ascii="仿宋" w:hAnsi="仿宋" w:eastAsia="仿宋" w:cs="仿宋"/>
                <w:b/>
                <w:bCs/>
                <w:kern w:val="0"/>
                <w:sz w:val="28"/>
                <w:szCs w:val="28"/>
                <w:lang w:val="zh-TW"/>
              </w:rPr>
              <w:t>背景情况概述</w:t>
            </w:r>
            <w:r>
              <w:rPr>
                <w:rFonts w:hint="eastAsia" w:ascii="仿宋" w:hAnsi="仿宋" w:eastAsia="仿宋" w:cs="仿宋"/>
                <w:b/>
                <w:bCs/>
                <w:kern w:val="0"/>
                <w:sz w:val="28"/>
                <w:szCs w:val="28"/>
                <w:lang w:val="zh-TW" w:eastAsia="zh-CN"/>
              </w:rPr>
              <w:t>：</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建筑碳排放来源统计显示，暖通空调系统能耗占建筑总能耗的50％以上，约占社会总能耗20％以上，制冷行业的发展与空调的大面积应用造成的整体能耗水平也在不断提高，实现制冷空调行业的碳达峰乃至碳中和面临巨大挑战，同时，从整个行业生命周期的角度去分析减碳过程也至关重要。</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大幅度提升产品和系统能效，是多年来制冷行业重点开展的节能工作之一。制冷空调设备常见的换热部件包括蒸发器、冷凝器、过冷器、中间换热器等，换热设备的传热特性对制冷空调设备的整机性能具有重要的影响。通过传热机理及强化传热的研究，开发高效、紧凑、重量轻、可靠性高、经济性好的新型换热器、实现制冷剂的绿色替代，以及提升制冷系统实际运行能效是当前制冷行业围绕“双碳”目标开展研究的重点工作。</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ascii="仿宋" w:hAnsi="仿宋" w:eastAsia="仿宋" w:cs="宋体"/>
                <w:kern w:val="0"/>
                <w:sz w:val="32"/>
                <w:szCs w:val="32"/>
              </w:rPr>
            </w:pPr>
            <w:r>
              <w:rPr>
                <w:rFonts w:hint="eastAsia" w:ascii="仿宋" w:hAnsi="仿宋" w:eastAsia="仿宋" w:cs="仿宋"/>
                <w:kern w:val="0"/>
                <w:sz w:val="28"/>
                <w:szCs w:val="28"/>
              </w:rPr>
              <w:t>拟通过本主题，合众之力，结合材料创新与节能科技，探讨制冷空调行业节能减排、助力“碳中和”的发展路线，推动行业低能耗和低碳技术的发展。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6"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eastAsia="zh-TW"/>
              </w:rPr>
            </w:pPr>
            <w:r>
              <w:rPr>
                <w:rFonts w:hint="eastAsia" w:ascii="仿宋" w:hAnsi="仿宋" w:eastAsia="仿宋" w:cs="仿宋"/>
                <w:b/>
                <w:bCs/>
                <w:kern w:val="0"/>
                <w:sz w:val="28"/>
                <w:szCs w:val="28"/>
                <w:lang w:val="zh-TW" w:eastAsia="zh-TW"/>
              </w:rPr>
              <w:t>关注</w:t>
            </w:r>
            <w:r>
              <w:rPr>
                <w:rFonts w:hint="eastAsia" w:ascii="仿宋" w:hAnsi="仿宋" w:eastAsia="仿宋" w:cs="仿宋"/>
                <w:b/>
                <w:bCs/>
                <w:kern w:val="0"/>
                <w:sz w:val="28"/>
                <w:szCs w:val="28"/>
                <w:lang w:val="zh-TW"/>
              </w:rPr>
              <w:t>方向</w:t>
            </w:r>
            <w:r>
              <w:rPr>
                <w:rFonts w:hint="eastAsia" w:ascii="仿宋" w:hAnsi="仿宋" w:eastAsia="仿宋" w:cs="仿宋"/>
                <w:b/>
                <w:bCs/>
                <w:kern w:val="0"/>
                <w:sz w:val="28"/>
                <w:szCs w:val="28"/>
                <w:lang w:val="zh-TW" w:eastAsia="zh-TW"/>
              </w:rPr>
              <w:t>：</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1.高效冷凝器/蒸发器设计与研发</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2.新型绿色工质的研发与应用</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ascii="仿宋" w:hAnsi="仿宋" w:eastAsia="仿宋" w:cs="宋体"/>
                <w:bCs/>
                <w:kern w:val="0"/>
                <w:sz w:val="32"/>
                <w:szCs w:val="32"/>
              </w:rPr>
            </w:pPr>
            <w:r>
              <w:rPr>
                <w:rFonts w:hint="eastAsia" w:ascii="仿宋" w:hAnsi="仿宋" w:eastAsia="仿宋" w:cs="仿宋"/>
                <w:kern w:val="0"/>
                <w:sz w:val="28"/>
                <w:szCs w:val="28"/>
              </w:rPr>
              <w:t>3.制冷系统节能低碳优化设计及能效提升</w:t>
            </w:r>
          </w:p>
        </w:tc>
      </w:tr>
      <w:bookmarkEnd w:id="3"/>
    </w:tbl>
    <w:p/>
    <w:p>
      <w:pPr>
        <w:rPr>
          <w:rFonts w:hint="eastAsia" w:ascii="仿宋" w:hAnsi="仿宋" w:eastAsia="仿宋" w:cs="仿宋_GB2312"/>
          <w:b/>
          <w:bCs/>
          <w:sz w:val="32"/>
          <w:szCs w:val="32"/>
        </w:rPr>
      </w:pPr>
      <w:r>
        <w:rPr>
          <w:rFonts w:hint="eastAsia" w:ascii="仿宋" w:hAnsi="仿宋" w:eastAsia="仿宋" w:cs="仿宋_GB2312"/>
          <w:b/>
          <w:bCs/>
          <w:sz w:val="32"/>
          <w:szCs w:val="32"/>
        </w:rPr>
        <w:br w:type="page"/>
      </w:r>
    </w:p>
    <w:p>
      <w:pPr>
        <w:snapToGrid w:val="0"/>
        <w:spacing w:before="120" w:beforeLines="50" w:after="120" w:afterLines="50" w:line="500" w:lineRule="exact"/>
        <w:jc w:val="center"/>
        <w:rPr>
          <w:rFonts w:ascii="仿宋" w:hAnsi="仿宋" w:eastAsia="仿宋" w:cs="仿宋_GB2312"/>
          <w:sz w:val="32"/>
          <w:szCs w:val="32"/>
        </w:rPr>
      </w:pPr>
      <w:r>
        <w:rPr>
          <w:rFonts w:hint="eastAsia" w:ascii="仿宋" w:hAnsi="仿宋" w:eastAsia="仿宋" w:cs="仿宋_GB2312"/>
          <w:b/>
          <w:bCs/>
          <w:sz w:val="32"/>
          <w:szCs w:val="32"/>
        </w:rPr>
        <w:t>命题</w:t>
      </w:r>
      <w:r>
        <w:rPr>
          <w:rFonts w:ascii="仿宋" w:hAnsi="仿宋" w:eastAsia="仿宋" w:cs="仿宋_GB2312"/>
          <w:b/>
          <w:bCs/>
          <w:sz w:val="32"/>
          <w:szCs w:val="32"/>
        </w:rPr>
        <w:t>20</w:t>
      </w:r>
      <w:r>
        <w:rPr>
          <w:rFonts w:hint="eastAsia" w:ascii="仿宋" w:hAnsi="仿宋" w:eastAsia="仿宋" w:cs="仿宋_GB2312"/>
          <w:b/>
          <w:bCs/>
          <w:sz w:val="32"/>
          <w:szCs w:val="32"/>
          <w:lang w:eastAsia="zh-CN"/>
        </w:rPr>
        <w:t>（</w:t>
      </w:r>
      <w:r>
        <w:rPr>
          <w:rFonts w:hint="eastAsia" w:ascii="仿宋" w:hAnsi="仿宋" w:eastAsia="仿宋" w:cs="仿宋_GB2312"/>
          <w:b/>
          <w:bCs/>
          <w:sz w:val="32"/>
          <w:szCs w:val="32"/>
        </w:rPr>
        <w:t>赛道五：低碳生活与生命健康</w:t>
      </w:r>
      <w:r>
        <w:rPr>
          <w:rFonts w:hint="eastAsia" w:ascii="仿宋" w:hAnsi="仿宋" w:eastAsia="仿宋" w:cs="仿宋_GB2312"/>
          <w:b/>
          <w:bCs/>
          <w:sz w:val="32"/>
          <w:szCs w:val="32"/>
          <w:lang w:eastAsia="zh-CN"/>
        </w:rPr>
        <w:t>）</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Pr>
          <w:p>
            <w:pPr>
              <w:snapToGrid w:val="0"/>
              <w:spacing w:line="580" w:lineRule="exact"/>
              <w:rPr>
                <w:rFonts w:ascii="仿宋" w:hAnsi="仿宋" w:eastAsia="仿宋" w:cs="仿宋"/>
                <w:kern w:val="0"/>
                <w:sz w:val="32"/>
                <w:szCs w:val="32"/>
              </w:rPr>
            </w:pPr>
            <w:r>
              <w:rPr>
                <w:rFonts w:hint="eastAsia" w:ascii="仿宋" w:hAnsi="仿宋" w:eastAsia="仿宋" w:cs="仿宋"/>
                <w:b/>
                <w:bCs/>
                <w:kern w:val="0"/>
                <w:sz w:val="28"/>
                <w:szCs w:val="28"/>
              </w:rPr>
              <w:t>主题：超特大城市脱碳技术与路径选择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9"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背景情况概述：</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ascii="仿宋" w:hAnsi="仿宋" w:eastAsia="仿宋" w:cs="仿宋"/>
                <w:kern w:val="0"/>
                <w:sz w:val="32"/>
                <w:szCs w:val="32"/>
              </w:rPr>
            </w:pPr>
            <w:r>
              <w:rPr>
                <w:rFonts w:hint="eastAsia" w:ascii="仿宋" w:hAnsi="仿宋" w:eastAsia="仿宋" w:cs="仿宋"/>
                <w:kern w:val="0"/>
                <w:sz w:val="28"/>
                <w:szCs w:val="28"/>
              </w:rPr>
              <w:t>城市是实现碳达峰、碳中和目标的主战场，目前承载中国60%的常住人口，碳排放量占中国排放总量的70%以上。然而，目前城市在实现碳达峰、碳中和上仍面临较多限制，包括空间制约、能源制约、环境制约、技术制约等多种制约因素，缺乏强有力的科技支撑与政策引导。本主题以中国超特大城市人为源碳排放演变路径与重点行业碳代谢驱动因素为切入点，探索建立中国超特大城市碳代谢驱动因素评估和碳中和路径规划的系统性技术评估框架，针对城市不同部门尤其是对城市碳排放贡献最大的行业部门开展脱碳技术与路径选择研究，探索超特大城市减污降碳协同增效的可行性道路。如何利用环境系统建模、建筑群用能建模、大数据挖掘与数值模拟算法，实现对超特大城市基础设施碳代谢精准建模表征与系统性量化分析，辅以城市碳监测评估方案，开展城市脱碳技术与路径选择研究，建立支撑超特大城市实现双碳目标的系统性解决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5"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eastAsia="zh-TW"/>
              </w:rPr>
            </w:pPr>
            <w:r>
              <w:rPr>
                <w:rFonts w:hint="eastAsia" w:ascii="仿宋" w:hAnsi="仿宋" w:eastAsia="仿宋" w:cs="仿宋"/>
                <w:b/>
                <w:bCs/>
                <w:kern w:val="0"/>
                <w:sz w:val="28"/>
                <w:szCs w:val="28"/>
                <w:lang w:val="zh-TW" w:eastAsia="zh-TW"/>
              </w:rPr>
              <w:t>关注方向：</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default" w:ascii="仿宋" w:hAnsi="仿宋" w:eastAsia="仿宋" w:cs="仿宋"/>
                <w:kern w:val="0"/>
                <w:sz w:val="28"/>
                <w:szCs w:val="28"/>
                <w:lang w:val="en-US" w:eastAsia="zh-CN"/>
              </w:rPr>
            </w:pPr>
            <w:r>
              <w:rPr>
                <w:rFonts w:hint="eastAsia" w:ascii="仿宋" w:hAnsi="仿宋" w:eastAsia="仿宋" w:cs="仿宋"/>
                <w:kern w:val="0"/>
                <w:sz w:val="28"/>
                <w:szCs w:val="28"/>
              </w:rPr>
              <w:t>1.超特大城市</w:t>
            </w:r>
            <w:r>
              <w:rPr>
                <w:rFonts w:hint="eastAsia" w:ascii="仿宋" w:hAnsi="仿宋" w:eastAsia="仿宋" w:cs="仿宋"/>
                <w:kern w:val="0"/>
                <w:sz w:val="28"/>
                <w:szCs w:val="28"/>
                <w:lang w:val="en-US" w:eastAsia="zh-CN"/>
              </w:rPr>
              <w:t>空间人口结构、经济发展对碳减排影响</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2.城市碳代谢</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ascii="仿宋" w:hAnsi="仿宋" w:eastAsia="仿宋" w:cs="仿宋"/>
                <w:b/>
                <w:bCs/>
                <w:kern w:val="0"/>
                <w:sz w:val="32"/>
                <w:szCs w:val="32"/>
              </w:rPr>
            </w:pPr>
            <w:r>
              <w:rPr>
                <w:rFonts w:hint="eastAsia" w:ascii="仿宋" w:hAnsi="仿宋" w:eastAsia="仿宋" w:cs="仿宋"/>
                <w:kern w:val="0"/>
                <w:sz w:val="28"/>
                <w:szCs w:val="28"/>
              </w:rPr>
              <w:t>3.脱碳技术路径</w:t>
            </w:r>
          </w:p>
        </w:tc>
      </w:tr>
    </w:tbl>
    <w:p>
      <w:pPr>
        <w:keepNext w:val="0"/>
        <w:keepLines w:val="0"/>
        <w:pageBreakBefore w:val="0"/>
        <w:widowControl w:val="0"/>
        <w:kinsoku/>
        <w:wordWrap/>
        <w:overflowPunct/>
        <w:topLinePunct w:val="0"/>
        <w:autoSpaceDE/>
        <w:autoSpaceDN/>
        <w:bidi w:val="0"/>
        <w:adjustRightInd/>
        <w:snapToGrid/>
        <w:spacing w:line="312" w:lineRule="auto"/>
        <w:ind w:firstLine="562" w:firstLineChars="200"/>
        <w:textAlignment w:val="auto"/>
        <w:rPr>
          <w:rFonts w:hint="eastAsia" w:ascii="仿宋" w:hAnsi="仿宋" w:eastAsia="仿宋" w:cs="仿宋"/>
          <w:kern w:val="0"/>
          <w:sz w:val="28"/>
          <w:szCs w:val="28"/>
        </w:rPr>
      </w:pPr>
      <w:r>
        <w:rPr>
          <w:rFonts w:hint="eastAsia" w:ascii="仿宋" w:hAnsi="仿宋" w:eastAsia="仿宋" w:cs="仿宋"/>
          <w:b/>
          <w:bCs/>
          <w:kern w:val="0"/>
          <w:sz w:val="28"/>
          <w:szCs w:val="28"/>
        </w:rPr>
        <w:t>说明：</w:t>
      </w:r>
      <w:r>
        <w:rPr>
          <w:rFonts w:hint="eastAsia" w:ascii="仿宋" w:hAnsi="仿宋" w:eastAsia="仿宋" w:cs="仿宋"/>
          <w:kern w:val="0"/>
          <w:sz w:val="28"/>
          <w:szCs w:val="28"/>
        </w:rPr>
        <w:t>根据国务院于2014年下发的《关于调整城市规模划分标准的通知》，城区常住人口1000万以上的城市为超大城市，城区常住人口500万以上1000万以下的城市为特大城市。</w:t>
      </w:r>
    </w:p>
    <w:p>
      <w:pPr>
        <w:snapToGrid w:val="0"/>
        <w:spacing w:line="580" w:lineRule="exact"/>
        <w:jc w:val="center"/>
        <w:rPr>
          <w:rFonts w:ascii="仿宋" w:hAnsi="仿宋" w:eastAsia="仿宋" w:cs="仿宋_GB2312"/>
          <w:b/>
          <w:bCs/>
          <w:sz w:val="32"/>
          <w:szCs w:val="32"/>
        </w:rPr>
      </w:pPr>
    </w:p>
    <w:p>
      <w:pPr>
        <w:widowControl/>
        <w:jc w:val="left"/>
        <w:rPr>
          <w:rFonts w:ascii="仿宋" w:hAnsi="仿宋" w:eastAsia="仿宋" w:cs="仿宋_GB2312"/>
          <w:b/>
          <w:bCs/>
          <w:sz w:val="32"/>
          <w:szCs w:val="32"/>
        </w:rPr>
      </w:pPr>
      <w:r>
        <w:rPr>
          <w:rFonts w:ascii="仿宋" w:hAnsi="仿宋" w:eastAsia="仿宋" w:cs="仿宋_GB2312"/>
          <w:b/>
          <w:bCs/>
          <w:sz w:val="32"/>
          <w:szCs w:val="32"/>
        </w:rPr>
        <w:br w:type="page"/>
      </w:r>
    </w:p>
    <w:p>
      <w:pPr>
        <w:snapToGrid w:val="0"/>
        <w:spacing w:before="120" w:beforeLines="50" w:after="120" w:afterLines="50" w:line="500" w:lineRule="exact"/>
        <w:jc w:val="center"/>
        <w:rPr>
          <w:rFonts w:ascii="仿宋" w:hAnsi="仿宋" w:eastAsia="仿宋"/>
          <w:sz w:val="32"/>
          <w:szCs w:val="32"/>
        </w:rPr>
      </w:pPr>
      <w:r>
        <w:rPr>
          <w:rFonts w:hint="eastAsia" w:ascii="仿宋" w:hAnsi="仿宋" w:eastAsia="仿宋" w:cs="仿宋_GB2312"/>
          <w:b/>
          <w:bCs/>
          <w:sz w:val="32"/>
          <w:szCs w:val="32"/>
        </w:rPr>
        <w:t>命题</w:t>
      </w:r>
      <w:r>
        <w:rPr>
          <w:rFonts w:ascii="仿宋" w:hAnsi="仿宋" w:eastAsia="仿宋" w:cs="仿宋_GB2312"/>
          <w:b/>
          <w:bCs/>
          <w:sz w:val="32"/>
          <w:szCs w:val="32"/>
        </w:rPr>
        <w:t>21</w:t>
      </w:r>
      <w:r>
        <w:rPr>
          <w:rFonts w:hint="eastAsia" w:ascii="仿宋" w:hAnsi="仿宋" w:eastAsia="仿宋" w:cs="仿宋_GB2312"/>
          <w:b/>
          <w:bCs/>
          <w:sz w:val="32"/>
          <w:szCs w:val="32"/>
          <w:lang w:eastAsia="zh-CN"/>
        </w:rPr>
        <w:t>（</w:t>
      </w:r>
      <w:r>
        <w:rPr>
          <w:rFonts w:hint="eastAsia" w:ascii="仿宋" w:hAnsi="仿宋" w:eastAsia="仿宋" w:cs="仿宋_GB2312"/>
          <w:b/>
          <w:bCs/>
          <w:sz w:val="32"/>
          <w:szCs w:val="32"/>
        </w:rPr>
        <w:t>赛道五：低碳生活与生命健康</w:t>
      </w:r>
      <w:r>
        <w:rPr>
          <w:rFonts w:hint="eastAsia" w:ascii="仿宋" w:hAnsi="仿宋" w:eastAsia="仿宋" w:cs="仿宋_GB2312"/>
          <w:b/>
          <w:bCs/>
          <w:sz w:val="32"/>
          <w:szCs w:val="32"/>
          <w:lang w:eastAsia="zh-CN"/>
        </w:rPr>
        <w:t>）</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5" w:hRule="atLeast"/>
          <w:jc w:val="center"/>
        </w:trPr>
        <w:tc>
          <w:tcPr>
            <w:tcW w:w="8220" w:type="dxa"/>
            <w:tcBorders>
              <w:top w:val="single" w:color="auto" w:sz="4" w:space="0"/>
              <w:left w:val="single" w:color="auto" w:sz="4" w:space="0"/>
              <w:bottom w:val="single" w:color="auto" w:sz="4" w:space="0"/>
              <w:right w:val="single" w:color="auto" w:sz="4" w:space="0"/>
            </w:tcBorders>
          </w:tcPr>
          <w:p>
            <w:pPr>
              <w:snapToGrid w:val="0"/>
              <w:spacing w:line="580" w:lineRule="exact"/>
              <w:rPr>
                <w:rFonts w:ascii="仿宋" w:hAnsi="仿宋" w:eastAsia="仿宋" w:cs="仿宋"/>
                <w:b/>
                <w:bCs/>
                <w:kern w:val="0"/>
                <w:sz w:val="32"/>
                <w:szCs w:val="32"/>
              </w:rPr>
            </w:pPr>
            <w:r>
              <w:rPr>
                <w:rFonts w:hint="eastAsia" w:ascii="仿宋" w:hAnsi="仿宋" w:eastAsia="仿宋" w:cs="仿宋"/>
                <w:b/>
                <w:bCs/>
                <w:kern w:val="0"/>
                <w:sz w:val="28"/>
                <w:szCs w:val="28"/>
                <w:highlight w:val="none"/>
              </w:rPr>
              <w:t>主题：城市低碳建筑能源数字化转型技术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0" w:hRule="atLeast"/>
          <w:jc w:val="center"/>
        </w:trPr>
        <w:tc>
          <w:tcPr>
            <w:tcW w:w="822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背景情况概述：</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ascii="仿宋" w:hAnsi="仿宋" w:eastAsia="仿宋" w:cs="仿宋"/>
                <w:b/>
                <w:bCs/>
                <w:kern w:val="0"/>
                <w:sz w:val="32"/>
                <w:szCs w:val="32"/>
              </w:rPr>
            </w:pPr>
            <w:r>
              <w:rPr>
                <w:rFonts w:hint="eastAsia" w:ascii="仿宋" w:hAnsi="仿宋" w:eastAsia="仿宋" w:cs="仿宋"/>
                <w:kern w:val="0"/>
                <w:sz w:val="28"/>
                <w:szCs w:val="28"/>
              </w:rPr>
              <w:t>城市低碳建筑能源数字化转型是实现“双碳”目标的必要引擎。在此背景下，全国各地陆续提出低碳能源因地制宜的政策，旨在将建筑能源与5G、物联网、大数据、人工智能等新兴的数字化技术相结合，建设低碳建筑能源。近些年，随着低碳建筑能源领域目标客户数量的不断激增，我国低碳建筑能源领域的市场规模增长迅速，预计2022年国内低碳建筑能源市场规模将超过2000亿元。然而，当前我国低碳建筑能源数字化技术尚存在缺口，普遍表现为碳减排优化粗、碳数据融合低、碳评估审计差等问题，且核心技术主要依赖国外进口。如何依赖数字孪生、云计算、大数据、人工智能等新兴技术，实现在云平台虚拟映射建筑能源；同时如何在云端管理各类数据，让耗能、碳排放以数字化的方式呈现在建筑运营者和管理者面前，是目前所关注的关键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6" w:hRule="atLeast"/>
          <w:jc w:val="center"/>
        </w:trPr>
        <w:tc>
          <w:tcPr>
            <w:tcW w:w="822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关注方向：</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1.低碳建筑能源解决方案</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2.建筑能源系统数字孪生技术</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3.建筑能源碳评估、碳管理技术</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ascii="仿宋" w:hAnsi="仿宋" w:eastAsia="仿宋" w:cs="仿宋"/>
                <w:b/>
                <w:bCs/>
                <w:kern w:val="0"/>
                <w:sz w:val="32"/>
                <w:szCs w:val="32"/>
              </w:rPr>
            </w:pPr>
            <w:r>
              <w:rPr>
                <w:rFonts w:hint="eastAsia" w:ascii="仿宋" w:hAnsi="仿宋" w:eastAsia="仿宋" w:cs="仿宋"/>
                <w:kern w:val="0"/>
                <w:sz w:val="28"/>
                <w:szCs w:val="28"/>
              </w:rPr>
              <w:t>4.低碳建筑能源数字化转型技术</w:t>
            </w:r>
          </w:p>
        </w:tc>
      </w:tr>
    </w:tbl>
    <w:p>
      <w:pPr>
        <w:snapToGrid w:val="0"/>
        <w:spacing w:before="120" w:beforeLines="50" w:after="120" w:afterLines="50" w:line="500" w:lineRule="exact"/>
        <w:jc w:val="center"/>
        <w:rPr>
          <w:rStyle w:val="5"/>
          <w:rFonts w:ascii="仿宋" w:hAnsi="仿宋" w:eastAsia="仿宋" w:cs="Microsoft YaHei UI"/>
          <w:color w:val="000000"/>
          <w:spacing w:val="15"/>
          <w:sz w:val="32"/>
          <w:szCs w:val="32"/>
          <w:shd w:val="clear" w:color="auto" w:fill="FFFFFF"/>
        </w:rPr>
      </w:pPr>
      <w:r>
        <w:rPr>
          <w:rFonts w:ascii="仿宋" w:hAnsi="仿宋" w:eastAsia="仿宋"/>
          <w:sz w:val="32"/>
          <w:szCs w:val="32"/>
        </w:rPr>
        <w:br w:type="page"/>
      </w:r>
      <w:r>
        <w:rPr>
          <w:rFonts w:hint="eastAsia" w:ascii="仿宋" w:hAnsi="仿宋" w:eastAsia="仿宋" w:cs="仿宋_GB2312"/>
          <w:b/>
          <w:bCs/>
          <w:sz w:val="32"/>
          <w:szCs w:val="32"/>
        </w:rPr>
        <w:t>命题</w:t>
      </w:r>
      <w:r>
        <w:rPr>
          <w:rFonts w:ascii="仿宋" w:hAnsi="仿宋" w:eastAsia="仿宋" w:cs="仿宋_GB2312"/>
          <w:b/>
          <w:bCs/>
          <w:sz w:val="32"/>
          <w:szCs w:val="32"/>
        </w:rPr>
        <w:t>22</w:t>
      </w:r>
      <w:r>
        <w:rPr>
          <w:rFonts w:hint="eastAsia" w:ascii="仿宋" w:hAnsi="仿宋" w:eastAsia="仿宋" w:cs="仿宋_GB2312"/>
          <w:b/>
          <w:bCs/>
          <w:sz w:val="32"/>
          <w:szCs w:val="32"/>
          <w:lang w:eastAsia="zh-CN"/>
        </w:rPr>
        <w:t>（</w:t>
      </w:r>
      <w:r>
        <w:rPr>
          <w:rFonts w:hint="eastAsia" w:ascii="仿宋" w:hAnsi="仿宋" w:eastAsia="仿宋" w:cs="仿宋_GB2312"/>
          <w:b/>
          <w:bCs/>
          <w:sz w:val="32"/>
          <w:szCs w:val="32"/>
        </w:rPr>
        <w:t>赛道五：低碳生活与生命健康</w:t>
      </w:r>
      <w:r>
        <w:rPr>
          <w:rFonts w:hint="eastAsia" w:ascii="仿宋" w:hAnsi="仿宋" w:eastAsia="仿宋" w:cs="仿宋_GB2312"/>
          <w:b/>
          <w:bCs/>
          <w:sz w:val="32"/>
          <w:szCs w:val="32"/>
          <w:lang w:eastAsia="zh-CN"/>
        </w:rPr>
        <w:t>）</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ascii="仿宋" w:hAnsi="仿宋" w:eastAsia="仿宋" w:cs="仿宋"/>
                <w:b/>
                <w:bCs/>
                <w:kern w:val="0"/>
                <w:sz w:val="32"/>
                <w:szCs w:val="32"/>
              </w:rPr>
            </w:pPr>
            <w:r>
              <w:rPr>
                <w:rFonts w:hint="eastAsia" w:ascii="仿宋" w:hAnsi="仿宋" w:eastAsia="仿宋" w:cs="仿宋"/>
                <w:b/>
                <w:bCs/>
                <w:kern w:val="0"/>
                <w:sz w:val="28"/>
                <w:szCs w:val="28"/>
              </w:rPr>
              <w:t>主题：面向双碳目标的纺织服装企业技术、产业链联动及社会责任履行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8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中国作为发展中国家，实现全面绿色转型的基础较为薄弱，实现“双碳目标”时间紧、幅度大、困难多，但这一过程必将产生技术突破，催生新的产业、商业模式，更多的企业也将通过积极履行企业社会责任和践行绿色发展道路在资本市场和消费市场得到更多的市场认可。</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ascii="仿宋" w:hAnsi="仿宋" w:eastAsia="仿宋" w:cs="仿宋"/>
                <w:kern w:val="0"/>
                <w:sz w:val="32"/>
                <w:szCs w:val="32"/>
                <w:lang w:bidi="ar"/>
              </w:rPr>
            </w:pPr>
            <w:r>
              <w:rPr>
                <w:rFonts w:hint="eastAsia" w:ascii="仿宋" w:hAnsi="仿宋" w:eastAsia="仿宋" w:cs="仿宋"/>
                <w:kern w:val="0"/>
                <w:sz w:val="28"/>
                <w:szCs w:val="28"/>
              </w:rPr>
              <w:t>纺织服装行业作为传统消费品行业，国内市场规模超过2万亿元，114家上市公司总市值近8000亿元，因此该行业如何履行社会责任，促进“双碳”目标达成，对于我国经济转型和生态文明建设具有重要意义。从合成纤维回收、聚乳酸等可回收材料的应用开发、再生纤维素纤维的差异化、绿色生产转型（光伏供能、中水回用、零污染排放等）、碳中和产品开发和认证，到低碳产品营销、低碳供应链认证体系开发、消费者绿色积分，再到绿色供应链金融项目、双碳项目投融资等，通过打通全行业信息、资金、技术、产品、物料，将在满足人民群众日益增长的美好生活需要的同时，实现可持续发展和双碳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3" w:hRule="atLeast"/>
          <w:jc w:val="center"/>
        </w:trPr>
        <w:tc>
          <w:tcPr>
            <w:tcW w:w="8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关注方向：</w:t>
            </w:r>
          </w:p>
          <w:p>
            <w:pPr>
              <w:keepNext w:val="0"/>
              <w:keepLines w:val="0"/>
              <w:pageBreakBefore w:val="0"/>
              <w:widowControl w:val="0"/>
              <w:kinsoku/>
              <w:wordWrap/>
              <w:overflowPunct/>
              <w:topLinePunct w:val="0"/>
              <w:autoSpaceDE/>
              <w:autoSpaceDN/>
              <w:bidi w:val="0"/>
              <w:adjustRightInd/>
              <w:snapToGrid/>
              <w:spacing w:line="312" w:lineRule="auto"/>
              <w:ind w:firstLine="0"/>
              <w:textAlignment w:val="auto"/>
              <w:rPr>
                <w:rFonts w:hint="eastAsia" w:ascii="仿宋" w:hAnsi="仿宋" w:eastAsia="仿宋" w:cs="仿宋"/>
                <w:kern w:val="0"/>
                <w:sz w:val="28"/>
                <w:szCs w:val="28"/>
              </w:rPr>
            </w:pPr>
            <w:r>
              <w:rPr>
                <w:rFonts w:hint="eastAsia" w:ascii="仿宋" w:hAnsi="仿宋" w:eastAsia="仿宋" w:cs="仿宋"/>
                <w:kern w:val="0"/>
                <w:sz w:val="28"/>
                <w:szCs w:val="28"/>
              </w:rPr>
              <w:t>1.主要原材料（例：聚酯纤维）的可回收技术开发以及经济性分析</w:t>
            </w:r>
          </w:p>
          <w:p>
            <w:pPr>
              <w:keepNext w:val="0"/>
              <w:keepLines w:val="0"/>
              <w:pageBreakBefore w:val="0"/>
              <w:widowControl w:val="0"/>
              <w:kinsoku/>
              <w:wordWrap/>
              <w:overflowPunct/>
              <w:topLinePunct w:val="0"/>
              <w:autoSpaceDE/>
              <w:autoSpaceDN/>
              <w:bidi w:val="0"/>
              <w:adjustRightInd/>
              <w:snapToGrid/>
              <w:spacing w:line="312" w:lineRule="auto"/>
              <w:ind w:firstLine="0"/>
              <w:textAlignment w:val="auto"/>
              <w:rPr>
                <w:rFonts w:hint="eastAsia" w:ascii="仿宋" w:hAnsi="仿宋" w:eastAsia="仿宋" w:cs="仿宋"/>
                <w:kern w:val="0"/>
                <w:sz w:val="28"/>
                <w:szCs w:val="28"/>
              </w:rPr>
            </w:pPr>
            <w:r>
              <w:rPr>
                <w:rFonts w:hint="eastAsia" w:ascii="仿宋" w:hAnsi="仿宋" w:eastAsia="仿宋" w:cs="仿宋"/>
                <w:kern w:val="0"/>
                <w:sz w:val="28"/>
                <w:szCs w:val="28"/>
              </w:rPr>
              <w:t>2.基于BSI碳足迹认证（CFV）进行某款碳中和产品的开发（包括技术路线、碳足迹核算、认证申请等）</w:t>
            </w:r>
          </w:p>
          <w:p>
            <w:pPr>
              <w:keepNext w:val="0"/>
              <w:keepLines w:val="0"/>
              <w:pageBreakBefore w:val="0"/>
              <w:widowControl w:val="0"/>
              <w:kinsoku/>
              <w:wordWrap/>
              <w:overflowPunct/>
              <w:topLinePunct w:val="0"/>
              <w:autoSpaceDE/>
              <w:autoSpaceDN/>
              <w:bidi w:val="0"/>
              <w:adjustRightInd/>
              <w:snapToGrid/>
              <w:spacing w:line="312" w:lineRule="auto"/>
              <w:ind w:firstLine="0"/>
              <w:textAlignment w:val="auto"/>
              <w:rPr>
                <w:rFonts w:hint="eastAsia" w:ascii="仿宋" w:hAnsi="仿宋" w:eastAsia="仿宋" w:cs="仿宋"/>
                <w:kern w:val="0"/>
                <w:sz w:val="28"/>
                <w:szCs w:val="28"/>
              </w:rPr>
            </w:pPr>
            <w:r>
              <w:rPr>
                <w:rFonts w:hint="eastAsia" w:ascii="仿宋" w:hAnsi="仿宋" w:eastAsia="仿宋" w:cs="仿宋"/>
                <w:kern w:val="0"/>
                <w:sz w:val="28"/>
                <w:szCs w:val="28"/>
              </w:rPr>
              <w:t>3.基于双碳目标构建中国特色社会主义“绿色供应链</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认证体系，并开展供应链双碳审计</w:t>
            </w:r>
          </w:p>
          <w:p>
            <w:pPr>
              <w:keepNext w:val="0"/>
              <w:keepLines w:val="0"/>
              <w:pageBreakBefore w:val="0"/>
              <w:widowControl w:val="0"/>
              <w:kinsoku/>
              <w:wordWrap/>
              <w:overflowPunct/>
              <w:topLinePunct w:val="0"/>
              <w:autoSpaceDE/>
              <w:autoSpaceDN/>
              <w:bidi w:val="0"/>
              <w:adjustRightInd/>
              <w:snapToGrid/>
              <w:spacing w:line="312" w:lineRule="auto"/>
              <w:ind w:firstLine="0"/>
              <w:textAlignment w:val="auto"/>
              <w:rPr>
                <w:rFonts w:ascii="仿宋" w:hAnsi="仿宋" w:eastAsia="仿宋" w:cs="仿宋"/>
                <w:kern w:val="0"/>
                <w:sz w:val="32"/>
                <w:szCs w:val="32"/>
                <w:lang w:bidi="ar"/>
              </w:rPr>
            </w:pPr>
            <w:r>
              <w:rPr>
                <w:rFonts w:hint="eastAsia" w:ascii="仿宋" w:hAnsi="仿宋" w:eastAsia="仿宋" w:cs="仿宋"/>
                <w:kern w:val="0"/>
                <w:sz w:val="28"/>
                <w:szCs w:val="28"/>
              </w:rPr>
              <w:t>4.基于消费者需求、用户画像等大数据分析，开展“低碳消费</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、“碳中和产品”相关营销策划</w:t>
            </w:r>
          </w:p>
        </w:tc>
      </w:tr>
    </w:tbl>
    <w:p>
      <w:pPr>
        <w:rPr>
          <w:rFonts w:ascii="仿宋" w:hAnsi="仿宋" w:eastAsia="仿宋"/>
          <w:sz w:val="32"/>
          <w:szCs w:val="32"/>
        </w:rPr>
      </w:pPr>
      <w:r>
        <w:rPr>
          <w:rFonts w:ascii="仿宋" w:hAnsi="仿宋" w:eastAsia="仿宋"/>
          <w:sz w:val="32"/>
          <w:szCs w:val="32"/>
        </w:rPr>
        <w:br w:type="page"/>
      </w:r>
    </w:p>
    <w:p>
      <w:pPr>
        <w:snapToGrid w:val="0"/>
        <w:spacing w:before="120" w:beforeLines="50" w:after="120" w:afterLines="50" w:line="500" w:lineRule="exact"/>
        <w:jc w:val="center"/>
        <w:rPr>
          <w:rStyle w:val="5"/>
          <w:rFonts w:ascii="仿宋" w:hAnsi="仿宋" w:eastAsia="仿宋" w:cs="Microsoft YaHei UI"/>
          <w:color w:val="000000"/>
          <w:spacing w:val="15"/>
          <w:sz w:val="32"/>
          <w:szCs w:val="32"/>
          <w:shd w:val="clear" w:color="auto" w:fill="FFFFFF"/>
        </w:rPr>
      </w:pPr>
      <w:r>
        <w:rPr>
          <w:rFonts w:hint="eastAsia" w:ascii="仿宋" w:hAnsi="仿宋" w:eastAsia="仿宋" w:cs="仿宋_GB2312"/>
          <w:b/>
          <w:bCs/>
          <w:sz w:val="32"/>
          <w:szCs w:val="32"/>
        </w:rPr>
        <w:t>命题</w:t>
      </w:r>
      <w:r>
        <w:rPr>
          <w:rFonts w:ascii="仿宋" w:hAnsi="仿宋" w:eastAsia="仿宋" w:cs="仿宋_GB2312"/>
          <w:b/>
          <w:bCs/>
          <w:sz w:val="32"/>
          <w:szCs w:val="32"/>
        </w:rPr>
        <w:t>23</w:t>
      </w:r>
      <w:r>
        <w:rPr>
          <w:rFonts w:hint="eastAsia" w:ascii="仿宋" w:hAnsi="仿宋" w:eastAsia="仿宋" w:cs="仿宋_GB2312"/>
          <w:b/>
          <w:bCs/>
          <w:sz w:val="32"/>
          <w:szCs w:val="32"/>
          <w:lang w:eastAsia="zh-CN"/>
        </w:rPr>
        <w:t>（</w:t>
      </w:r>
      <w:r>
        <w:rPr>
          <w:rFonts w:hint="eastAsia" w:ascii="仿宋" w:hAnsi="仿宋" w:eastAsia="仿宋" w:cs="仿宋_GB2312"/>
          <w:b/>
          <w:bCs/>
          <w:sz w:val="32"/>
          <w:szCs w:val="32"/>
        </w:rPr>
        <w:t>赛道五：低碳生活与生命健康</w:t>
      </w:r>
      <w:bookmarkStart w:id="5" w:name="_GoBack"/>
      <w:bookmarkEnd w:id="5"/>
      <w:r>
        <w:rPr>
          <w:rFonts w:hint="eastAsia" w:ascii="仿宋" w:hAnsi="仿宋" w:eastAsia="仿宋" w:cs="仿宋_GB2312"/>
          <w:b/>
          <w:bCs/>
          <w:sz w:val="32"/>
          <w:szCs w:val="32"/>
          <w:lang w:eastAsia="zh-CN"/>
        </w:rPr>
        <w:t>）</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b/>
                <w:bCs/>
                <w:kern w:val="0"/>
                <w:sz w:val="32"/>
                <w:szCs w:val="32"/>
              </w:rPr>
            </w:pPr>
            <w:r>
              <w:rPr>
                <w:rFonts w:hint="eastAsia" w:ascii="仿宋" w:hAnsi="仿宋" w:eastAsia="仿宋" w:cs="仿宋"/>
                <w:b/>
                <w:bCs/>
                <w:kern w:val="0"/>
                <w:sz w:val="28"/>
                <w:szCs w:val="28"/>
              </w:rPr>
              <w:t>主题：双碳战略与智能交通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9"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2021年10月24日，中共中央、国务院印发《关于完整准确全面贯彻新发展理念做好碳达峰碳中和工作的意见》。意见第六条明确提出“加快推进低碳交通运输体系建设”。根据交通部数据显示，我国每年因交通拥堵带来的经济损失高达城市人口可支配收入的20%，2020年我国交通领域碳排放9.3亿吨，占全国终端碳排放的15%，其中道路交通碳排放占90%。以上充分说明我国在交通减排方面大有可为。在此背景下，我国的交通模式已开启绿色低碳转型，开展智慧交通建设，通过实时监测交通流量、拥堵指数、延误指数等，减少交通拥堵，提升通行效率，进而减少碳排放。同时，我国还可通过推广节能低碳可网联的交通工具，加快发展新能源和清洁能源网联车船，推广智能交通工具，做到更优质的车路协同。</w:t>
            </w:r>
          </w:p>
          <w:p>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ascii="仿宋" w:hAnsi="仿宋" w:eastAsia="仿宋" w:cs="仿宋"/>
                <w:b/>
                <w:bCs/>
                <w:kern w:val="0"/>
                <w:sz w:val="32"/>
                <w:szCs w:val="32"/>
              </w:rPr>
            </w:pPr>
            <w:r>
              <w:rPr>
                <w:rFonts w:hint="eastAsia" w:ascii="仿宋" w:hAnsi="仿宋" w:eastAsia="仿宋" w:cs="仿宋"/>
                <w:kern w:val="0"/>
                <w:sz w:val="28"/>
                <w:szCs w:val="28"/>
              </w:rPr>
              <w:t>拟通过本主题，利用智能交通和自动驾驶技术和体系，推动交通碳排放精准测算，应用新技术促进交通减排，助力双碳目标实现。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6"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val="zh-TW"/>
              </w:rPr>
              <w:t>：</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1.交通碳排放精准核算和交叉验证</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2.大规模电动车智能有序充电</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3.引导低碳出行的激励机制设计</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4.共享出行的碳减排测算</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ascii="仿宋" w:hAnsi="仿宋" w:eastAsia="仿宋" w:cs="仿宋"/>
                <w:b/>
                <w:bCs/>
                <w:kern w:val="0"/>
                <w:sz w:val="32"/>
                <w:szCs w:val="32"/>
              </w:rPr>
            </w:pPr>
            <w:r>
              <w:rPr>
                <w:rFonts w:hint="eastAsia" w:ascii="仿宋" w:hAnsi="仿宋" w:eastAsia="仿宋" w:cs="仿宋"/>
                <w:kern w:val="0"/>
                <w:sz w:val="28"/>
                <w:szCs w:val="28"/>
              </w:rPr>
              <w:t>5.基于车路协同的节能车速诱导</w:t>
            </w:r>
          </w:p>
        </w:tc>
      </w:tr>
    </w:tbl>
    <w:p>
      <w:pPr>
        <w:jc w:val="center"/>
        <w:rPr>
          <w:rStyle w:val="5"/>
          <w:rFonts w:ascii="仿宋" w:hAnsi="仿宋" w:eastAsia="仿宋" w:cs="Microsoft YaHei UI"/>
          <w:color w:val="000000"/>
          <w:spacing w:val="15"/>
          <w:sz w:val="32"/>
          <w:szCs w:val="32"/>
          <w:shd w:val="clear" w:color="auto" w:fill="FFFFFF"/>
        </w:rPr>
      </w:pPr>
      <w:r>
        <w:rPr>
          <w:rFonts w:ascii="仿宋" w:hAnsi="仿宋" w:eastAsia="仿宋"/>
          <w:sz w:val="32"/>
          <w:szCs w:val="32"/>
        </w:rPr>
        <w:br w:type="page"/>
      </w:r>
      <w:r>
        <w:rPr>
          <w:rFonts w:hint="eastAsia" w:ascii="仿宋" w:hAnsi="仿宋" w:eastAsia="仿宋" w:cs="仿宋_GB2312"/>
          <w:b/>
          <w:bCs/>
          <w:sz w:val="32"/>
          <w:szCs w:val="32"/>
        </w:rPr>
        <w:t>命题</w:t>
      </w:r>
      <w:r>
        <w:rPr>
          <w:rFonts w:ascii="仿宋" w:hAnsi="仿宋" w:eastAsia="仿宋" w:cs="仿宋_GB2312"/>
          <w:b/>
          <w:bCs/>
          <w:sz w:val="32"/>
          <w:szCs w:val="32"/>
        </w:rPr>
        <w:t>24</w:t>
      </w:r>
      <w:r>
        <w:rPr>
          <w:rFonts w:hint="eastAsia" w:ascii="仿宋" w:hAnsi="仿宋" w:eastAsia="仿宋" w:cs="仿宋_GB2312"/>
          <w:b/>
          <w:bCs/>
          <w:sz w:val="32"/>
          <w:szCs w:val="32"/>
          <w:lang w:eastAsia="zh-CN"/>
        </w:rPr>
        <w:t>（</w:t>
      </w:r>
      <w:r>
        <w:rPr>
          <w:rFonts w:hint="eastAsia" w:ascii="仿宋" w:hAnsi="仿宋" w:eastAsia="仿宋" w:cs="仿宋_GB2312"/>
          <w:b/>
          <w:bCs/>
          <w:sz w:val="32"/>
          <w:szCs w:val="32"/>
        </w:rPr>
        <w:t>赛道六：政策、机制与体系创新</w:t>
      </w:r>
      <w:r>
        <w:rPr>
          <w:rFonts w:hint="eastAsia" w:ascii="仿宋" w:hAnsi="仿宋" w:eastAsia="仿宋" w:cs="仿宋_GB2312"/>
          <w:b/>
          <w:bCs/>
          <w:sz w:val="32"/>
          <w:szCs w:val="32"/>
          <w:lang w:eastAsia="zh-CN"/>
        </w:rPr>
        <w:t>）</w:t>
      </w:r>
    </w:p>
    <w:p>
      <w:pPr>
        <w:spacing w:line="155" w:lineRule="exact"/>
        <w:rPr>
          <w:rFonts w:ascii="仿宋" w:hAnsi="仿宋" w:eastAsia="仿宋"/>
          <w:sz w:val="32"/>
          <w:szCs w:val="32"/>
        </w:rPr>
      </w:pPr>
    </w:p>
    <w:tbl>
      <w:tblPr>
        <w:tblStyle w:val="6"/>
        <w:tblW w:w="8226" w:type="dxa"/>
        <w:tblInd w:w="5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2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8226" w:type="dxa"/>
            <w:tcBorders>
              <w:bottom w:val="single" w:color="auto" w:sz="4" w:space="0"/>
            </w:tcBorders>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kern w:val="0"/>
                <w:sz w:val="32"/>
                <w:szCs w:val="32"/>
              </w:rPr>
            </w:pPr>
            <w:r>
              <w:rPr>
                <w:rFonts w:hint="eastAsia" w:ascii="仿宋" w:hAnsi="仿宋" w:eastAsia="仿宋" w:cs="仿宋"/>
                <w:b/>
                <w:bCs/>
                <w:kern w:val="0"/>
                <w:sz w:val="28"/>
                <w:szCs w:val="28"/>
              </w:rPr>
              <w:t>主题：生态产品价值实现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5" w:hRule="atLeast"/>
        </w:trPr>
        <w:tc>
          <w:tcPr>
            <w:tcW w:w="822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生态产品价值实现是我国生态文明建设的重要抓手，是实现“绿水青山就是金山银山”理论的物质载体和实践抓手。2021年，中共中央、国务院办公厅印发《关于建立健全生态产品价值实现机制的意见》将生态产品价值实现机制从地方试点上升为顶层设计，构建了“两山”转化的政策制度体系，为加快建立生态产品价值实现机制提供了有力支撑。2022年，党的二十大将人与自然和谐共生列为中国式现代化的本质内涵，并将“建立生态产品价值实现机制”写入党的二十大报告。这是党对人与自然关系认识的重大跃升，揭示了生态产品价值实现是建设人与自然和谐共生的现代化的必由之路。近年来，随着生态产品价值实现机制试点的深入推进和各地实践探索的开展，我国在生态产品价值实现有关理论研究、机制创新、特色模式、路径实践等方面取得了重要进展、积累了宝贵经验，但依然存在着理论认识不深、实现路径单一、制度创新不足、配套保障不全、可复制可推广模式较少等瓶颈制约，需要加强经验总结，在深入推进生态产品价值实现机制创新、路径实践方面取得新突破。</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仿宋"/>
                <w:kern w:val="0"/>
                <w:sz w:val="32"/>
                <w:szCs w:val="32"/>
              </w:rPr>
            </w:pPr>
            <w:r>
              <w:rPr>
                <w:rFonts w:hint="eastAsia" w:ascii="仿宋" w:hAnsi="仿宋" w:eastAsia="仿宋" w:cs="仿宋"/>
                <w:kern w:val="0"/>
                <w:sz w:val="28"/>
                <w:szCs w:val="28"/>
              </w:rPr>
              <w:t>拟通过本主题，交叉融合生态学、经济学等学科理论知识，借鉴国内外典型经验，构建加快生态产品价值实现的制度机制，探索其实现路径，以实现人民群众物质生活水平和生态资源资产的双富裕，推动形成人与自然和谐共生的现代化建设新格局。</w:t>
            </w:r>
          </w:p>
        </w:tc>
      </w:tr>
      <w:tr>
        <w:tblPrEx>
          <w:tblBorders>
            <w:top w:val="single" w:color="000000" w:sz="2" w:space="0"/>
            <w:left w:val="single" w:color="000000" w:sz="2" w:space="0"/>
            <w:bottom w:val="single" w:color="000000" w:sz="4"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405" w:hRule="atLeast"/>
        </w:trPr>
        <w:tc>
          <w:tcPr>
            <w:tcW w:w="822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关注方向：</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1.生态产品价值实现机制</w:t>
            </w:r>
            <w:r>
              <w:rPr>
                <w:rFonts w:hint="eastAsia" w:ascii="仿宋" w:hAnsi="仿宋" w:eastAsia="仿宋" w:cs="仿宋"/>
                <w:kern w:val="0"/>
                <w:sz w:val="28"/>
                <w:szCs w:val="28"/>
                <w:highlight w:val="none"/>
                <w:lang w:val="en-US" w:eastAsia="zh-CN"/>
              </w:rPr>
              <w:t>和</w:t>
            </w:r>
            <w:r>
              <w:rPr>
                <w:rFonts w:hint="eastAsia" w:ascii="仿宋" w:hAnsi="仿宋" w:eastAsia="仿宋" w:cs="仿宋"/>
                <w:kern w:val="0"/>
                <w:sz w:val="28"/>
                <w:szCs w:val="28"/>
                <w:highlight w:val="none"/>
              </w:rPr>
              <w:t>路径设计</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lang w:val="en-US" w:eastAsia="zh-CN"/>
              </w:rPr>
              <w:t>2.</w:t>
            </w:r>
            <w:r>
              <w:rPr>
                <w:rFonts w:hint="eastAsia" w:ascii="仿宋" w:hAnsi="仿宋" w:eastAsia="仿宋" w:cs="仿宋"/>
                <w:kern w:val="0"/>
                <w:sz w:val="28"/>
                <w:szCs w:val="28"/>
                <w:highlight w:val="none"/>
              </w:rPr>
              <w:t>生态产品价值核算及交易机制</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lang w:val="en-US" w:eastAsia="zh-CN"/>
              </w:rPr>
              <w:t>3.</w:t>
            </w:r>
            <w:r>
              <w:rPr>
                <w:rFonts w:hint="eastAsia" w:ascii="仿宋" w:hAnsi="仿宋" w:eastAsia="仿宋" w:cs="仿宋"/>
                <w:kern w:val="0"/>
                <w:sz w:val="28"/>
                <w:szCs w:val="28"/>
                <w:highlight w:val="none"/>
              </w:rPr>
              <w:t>低成本智慧生态园区构建</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32"/>
                <w:szCs w:val="32"/>
              </w:rPr>
            </w:pPr>
            <w:r>
              <w:rPr>
                <w:rFonts w:hint="eastAsia" w:ascii="仿宋" w:hAnsi="仿宋" w:eastAsia="仿宋" w:cs="仿宋"/>
                <w:kern w:val="0"/>
                <w:sz w:val="28"/>
                <w:szCs w:val="28"/>
                <w:highlight w:val="none"/>
                <w:lang w:val="en-US" w:eastAsia="zh-CN"/>
              </w:rPr>
              <w:t>4</w:t>
            </w:r>
            <w:r>
              <w:rPr>
                <w:rFonts w:hint="eastAsia" w:ascii="仿宋" w:hAnsi="仿宋" w:eastAsia="仿宋" w:cs="仿宋"/>
                <w:kern w:val="0"/>
                <w:sz w:val="28"/>
                <w:szCs w:val="28"/>
                <w:highlight w:val="none"/>
              </w:rPr>
              <w:t>.国家公园</w:t>
            </w:r>
            <w:r>
              <w:rPr>
                <w:rFonts w:hint="eastAsia" w:ascii="仿宋" w:hAnsi="仿宋" w:eastAsia="仿宋" w:cs="仿宋"/>
                <w:kern w:val="0"/>
                <w:sz w:val="28"/>
                <w:szCs w:val="28"/>
                <w:highlight w:val="none"/>
                <w:lang w:eastAsia="zh-CN"/>
              </w:rPr>
              <w:t>、矿产资源、林地</w:t>
            </w:r>
            <w:r>
              <w:rPr>
                <w:rFonts w:hint="eastAsia" w:ascii="仿宋" w:hAnsi="仿宋" w:eastAsia="仿宋" w:cs="仿宋"/>
                <w:kern w:val="0"/>
                <w:sz w:val="28"/>
                <w:szCs w:val="28"/>
                <w:highlight w:val="none"/>
                <w:lang w:val="en-US" w:eastAsia="zh-CN"/>
              </w:rPr>
              <w:t>等</w:t>
            </w:r>
            <w:r>
              <w:rPr>
                <w:rFonts w:hint="eastAsia" w:ascii="仿宋" w:hAnsi="仿宋" w:eastAsia="仿宋" w:cs="仿宋"/>
                <w:kern w:val="0"/>
                <w:sz w:val="28"/>
                <w:szCs w:val="28"/>
                <w:highlight w:val="none"/>
              </w:rPr>
              <w:t>生态产品价值实现</w:t>
            </w:r>
          </w:p>
        </w:tc>
      </w:tr>
    </w:tbl>
    <w:p>
      <w:pPr>
        <w:widowControl/>
        <w:jc w:val="left"/>
        <w:rPr>
          <w:rFonts w:ascii="仿宋" w:hAnsi="仿宋" w:eastAsia="仿宋" w:cs="仿宋_GB2312"/>
          <w:b/>
          <w:bCs/>
          <w:sz w:val="32"/>
          <w:szCs w:val="32"/>
        </w:rPr>
      </w:pPr>
      <w:r>
        <w:rPr>
          <w:rFonts w:ascii="仿宋" w:hAnsi="仿宋" w:eastAsia="仿宋" w:cs="仿宋_GB2312"/>
          <w:b/>
          <w:bCs/>
          <w:sz w:val="32"/>
          <w:szCs w:val="32"/>
        </w:rPr>
        <w:br w:type="page"/>
      </w:r>
    </w:p>
    <w:p>
      <w:pPr>
        <w:snapToGrid w:val="0"/>
        <w:spacing w:before="120" w:beforeLines="50" w:after="120" w:afterLines="50" w:line="500" w:lineRule="exact"/>
        <w:jc w:val="center"/>
        <w:rPr>
          <w:rStyle w:val="5"/>
          <w:rFonts w:ascii="仿宋" w:hAnsi="仿宋" w:eastAsia="仿宋" w:cs="Microsoft YaHei UI"/>
          <w:color w:val="000000"/>
          <w:spacing w:val="15"/>
          <w:sz w:val="32"/>
          <w:szCs w:val="32"/>
          <w:shd w:val="clear" w:color="auto" w:fill="FFFFFF"/>
        </w:rPr>
      </w:pPr>
      <w:r>
        <w:rPr>
          <w:rFonts w:hint="eastAsia" w:ascii="仿宋" w:hAnsi="仿宋" w:eastAsia="仿宋" w:cs="仿宋_GB2312"/>
          <w:b/>
          <w:bCs/>
          <w:sz w:val="32"/>
          <w:szCs w:val="32"/>
        </w:rPr>
        <w:t>命题</w:t>
      </w:r>
      <w:r>
        <w:rPr>
          <w:rFonts w:ascii="仿宋" w:hAnsi="仿宋" w:eastAsia="仿宋" w:cs="仿宋_GB2312"/>
          <w:b/>
          <w:bCs/>
          <w:sz w:val="32"/>
          <w:szCs w:val="32"/>
        </w:rPr>
        <w:t>25</w:t>
      </w:r>
      <w:r>
        <w:rPr>
          <w:rFonts w:hint="eastAsia" w:ascii="仿宋" w:hAnsi="仿宋" w:eastAsia="仿宋" w:cs="仿宋_GB2312"/>
          <w:b/>
          <w:bCs/>
          <w:sz w:val="32"/>
          <w:szCs w:val="32"/>
          <w:lang w:eastAsia="zh-CN"/>
        </w:rPr>
        <w:t>（</w:t>
      </w:r>
      <w:r>
        <w:rPr>
          <w:rFonts w:hint="eastAsia" w:ascii="仿宋" w:hAnsi="仿宋" w:eastAsia="仿宋" w:cs="仿宋_GB2312"/>
          <w:b/>
          <w:bCs/>
          <w:sz w:val="32"/>
          <w:szCs w:val="32"/>
        </w:rPr>
        <w:t>赛道六：政策、机制与体系创新</w:t>
      </w:r>
      <w:r>
        <w:rPr>
          <w:rFonts w:hint="eastAsia" w:ascii="仿宋" w:hAnsi="仿宋" w:eastAsia="仿宋" w:cs="仿宋_GB2312"/>
          <w:b/>
          <w:bCs/>
          <w:sz w:val="32"/>
          <w:szCs w:val="32"/>
          <w:lang w:eastAsia="zh-CN"/>
        </w:rPr>
        <w:t>）</w:t>
      </w:r>
    </w:p>
    <w:tbl>
      <w:tblPr>
        <w:tblStyle w:val="3"/>
        <w:tblW w:w="0" w:type="auto"/>
        <w:tblInd w:w="1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0"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ascii="仿宋" w:hAnsi="仿宋" w:eastAsia="仿宋" w:cs="Times New Roman"/>
                <w:kern w:val="0"/>
                <w:sz w:val="32"/>
                <w:szCs w:val="32"/>
              </w:rPr>
            </w:pPr>
            <w:r>
              <w:rPr>
                <w:rFonts w:hint="eastAsia" w:ascii="仿宋" w:hAnsi="仿宋" w:eastAsia="仿宋" w:cs="仿宋"/>
                <w:b/>
                <w:bCs/>
                <w:kern w:val="0"/>
                <w:sz w:val="28"/>
                <w:szCs w:val="28"/>
              </w:rPr>
              <w:t>主题：碳金融驱动产业绿色转型升级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0" w:type="dxa"/>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双碳目标下产业转型发展错综复杂，需要庞大资金供给与多元金融工具支持。碳金融旨在通过金融市场解决全球温室气体减排问题，推动可持续发展。它包括碳交易、碳资产投资、碳信贷和碳保险等多个领域。碳金融的实质是将减排资源的所有权和使用权进行分离，通过市场机制实现碳减排目标。</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Times New Roman"/>
                <w:kern w:val="0"/>
                <w:sz w:val="32"/>
                <w:szCs w:val="32"/>
              </w:rPr>
            </w:pPr>
            <w:r>
              <w:rPr>
                <w:rFonts w:hint="eastAsia" w:ascii="仿宋" w:hAnsi="仿宋" w:eastAsia="仿宋" w:cs="仿宋"/>
                <w:kern w:val="0"/>
                <w:sz w:val="28"/>
                <w:szCs w:val="28"/>
              </w:rPr>
              <w:t>目前上海等地已经形成了多层次绿色金融组织机构体系、多元化绿色金融产品和服务体系、多渠道绿色产融结合和产业转型的市场平台体系。通过碳市场激励企业加大减排投入，反哺行业发展、产业发展。碳金融与产业绿色转型之间形成了怎样的关系？双碳目标下的金融创新如何更好地服务于产业绿色转型？拟通过本主题，探讨碳金融赋能农业、工业、服务业绿色转型升级的路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0" w:type="dxa"/>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关注方向：</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1.生态银行建设</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2.ESG表现评价体系建设</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3.碳金融与新能源产业</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4.碳金融与乡村振兴</w:t>
            </w:r>
          </w:p>
          <w:p>
            <w:pPr>
              <w:keepNext w:val="0"/>
              <w:keepLines w:val="0"/>
              <w:pageBreakBefore w:val="0"/>
              <w:widowControl w:val="0"/>
              <w:kinsoku/>
              <w:wordWrap/>
              <w:overflowPunct/>
              <w:topLinePunct w:val="0"/>
              <w:autoSpaceDE/>
              <w:autoSpaceDN/>
              <w:bidi w:val="0"/>
              <w:adjustRightInd/>
              <w:snapToGrid/>
              <w:spacing w:line="312" w:lineRule="auto"/>
              <w:ind w:firstLine="0" w:firstLineChars="0"/>
              <w:textAlignment w:val="auto"/>
              <w:rPr>
                <w:rFonts w:ascii="仿宋" w:hAnsi="仿宋" w:eastAsia="仿宋" w:cs="Times New Roman"/>
                <w:kern w:val="0"/>
                <w:sz w:val="32"/>
                <w:szCs w:val="32"/>
              </w:rPr>
            </w:pPr>
            <w:r>
              <w:rPr>
                <w:rFonts w:hint="eastAsia" w:ascii="仿宋" w:hAnsi="仿宋" w:eastAsia="仿宋" w:cs="仿宋"/>
                <w:kern w:val="0"/>
                <w:sz w:val="28"/>
                <w:szCs w:val="28"/>
              </w:rPr>
              <w:t>5.绿色融资租赁</w:t>
            </w:r>
          </w:p>
        </w:tc>
      </w:tr>
    </w:tbl>
    <w:p>
      <w:pPr>
        <w:snapToGrid w:val="0"/>
        <w:spacing w:before="120" w:beforeLines="50" w:after="120" w:afterLines="50" w:line="500" w:lineRule="exact"/>
        <w:jc w:val="center"/>
        <w:rPr>
          <w:rFonts w:ascii="仿宋" w:hAnsi="仿宋" w:eastAsia="仿宋" w:cs="仿宋_GB2312"/>
          <w:b/>
          <w:bCs/>
          <w:sz w:val="32"/>
          <w:szCs w:val="32"/>
        </w:rPr>
      </w:pPr>
    </w:p>
    <w:p>
      <w:pPr>
        <w:widowControl/>
        <w:jc w:val="left"/>
        <w:rPr>
          <w:rFonts w:ascii="仿宋" w:hAnsi="仿宋" w:eastAsia="仿宋" w:cs="仿宋_GB2312"/>
          <w:b/>
          <w:bCs/>
          <w:sz w:val="32"/>
          <w:szCs w:val="32"/>
        </w:rPr>
      </w:pPr>
      <w:r>
        <w:rPr>
          <w:rFonts w:ascii="仿宋" w:hAnsi="仿宋" w:eastAsia="仿宋" w:cs="仿宋_GB2312"/>
          <w:b/>
          <w:bCs/>
          <w:sz w:val="32"/>
          <w:szCs w:val="32"/>
        </w:rPr>
        <w:br w:type="page"/>
      </w:r>
    </w:p>
    <w:p>
      <w:pPr>
        <w:snapToGrid w:val="0"/>
        <w:spacing w:before="120" w:beforeLines="50" w:after="120" w:afterLines="50" w:line="500" w:lineRule="exact"/>
        <w:jc w:val="center"/>
        <w:rPr>
          <w:rFonts w:ascii="仿宋" w:hAnsi="仿宋" w:eastAsia="仿宋" w:cs="仿宋_GB2312"/>
          <w:b/>
          <w:bCs/>
          <w:sz w:val="32"/>
          <w:szCs w:val="32"/>
        </w:rPr>
      </w:pPr>
      <w:r>
        <w:rPr>
          <w:rFonts w:hint="eastAsia" w:ascii="仿宋" w:hAnsi="仿宋" w:eastAsia="仿宋" w:cs="仿宋_GB2312"/>
          <w:b/>
          <w:bCs/>
          <w:sz w:val="32"/>
          <w:szCs w:val="32"/>
        </w:rPr>
        <w:t>命题2</w:t>
      </w:r>
      <w:r>
        <w:rPr>
          <w:rFonts w:ascii="仿宋" w:hAnsi="仿宋" w:eastAsia="仿宋" w:cs="仿宋_GB2312"/>
          <w:b/>
          <w:bCs/>
          <w:sz w:val="32"/>
          <w:szCs w:val="32"/>
        </w:rPr>
        <w:t>6</w:t>
      </w:r>
      <w:r>
        <w:rPr>
          <w:rFonts w:hint="eastAsia" w:ascii="仿宋" w:hAnsi="仿宋" w:eastAsia="仿宋" w:cs="仿宋_GB2312"/>
          <w:b/>
          <w:bCs/>
          <w:sz w:val="32"/>
          <w:szCs w:val="32"/>
          <w:lang w:eastAsia="zh-CN"/>
        </w:rPr>
        <w:t>（</w:t>
      </w:r>
      <w:r>
        <w:rPr>
          <w:rFonts w:hint="eastAsia" w:ascii="仿宋" w:hAnsi="仿宋" w:eastAsia="仿宋" w:cs="仿宋_GB2312"/>
          <w:b/>
          <w:bCs/>
          <w:sz w:val="32"/>
          <w:szCs w:val="32"/>
        </w:rPr>
        <w:t>赛道六：政策、机制与体系创新</w:t>
      </w:r>
      <w:r>
        <w:rPr>
          <w:rFonts w:hint="eastAsia" w:ascii="仿宋" w:hAnsi="仿宋" w:eastAsia="仿宋" w:cs="仿宋_GB2312"/>
          <w:b/>
          <w:bCs/>
          <w:sz w:val="32"/>
          <w:szCs w:val="32"/>
          <w:lang w:eastAsia="zh-CN"/>
        </w:rPr>
        <w:t>）</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line="240" w:lineRule="auto"/>
              <w:textAlignment w:val="auto"/>
              <w:rPr>
                <w:rFonts w:ascii="仿宋" w:hAnsi="仿宋" w:eastAsia="仿宋" w:cs="仿宋"/>
                <w:b/>
                <w:bCs/>
                <w:kern w:val="0"/>
                <w:sz w:val="32"/>
                <w:szCs w:val="32"/>
              </w:rPr>
            </w:pPr>
            <w:r>
              <w:rPr>
                <w:rFonts w:hint="eastAsia" w:ascii="仿宋" w:hAnsi="仿宋" w:eastAsia="仿宋" w:cs="仿宋"/>
                <w:b/>
                <w:bCs/>
                <w:kern w:val="0"/>
                <w:sz w:val="28"/>
                <w:szCs w:val="28"/>
              </w:rPr>
              <w:t>主题：企业碳排放信息披露的治理机制创新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9"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作为社会的基本生产单元，企业是温室气体的基本排放源，也是政府减排行动的重要参与者。高质量的企业碳排放信息披露对于实现“双碳”目标意义重大，有利于帮助企业</w:t>
            </w:r>
            <w:r>
              <w:rPr>
                <w:rFonts w:hint="eastAsia" w:ascii="仿宋" w:hAnsi="仿宋" w:eastAsia="仿宋" w:cs="仿宋"/>
                <w:kern w:val="0"/>
                <w:sz w:val="28"/>
                <w:szCs w:val="28"/>
                <w:lang w:eastAsia="zh-CN"/>
              </w:rPr>
              <w:t>增强</w:t>
            </w:r>
            <w:r>
              <w:rPr>
                <w:rFonts w:hint="eastAsia" w:ascii="仿宋" w:hAnsi="仿宋" w:eastAsia="仿宋" w:cs="仿宋"/>
                <w:kern w:val="0"/>
                <w:sz w:val="28"/>
                <w:szCs w:val="28"/>
              </w:rPr>
              <w:t>气候风险管理的意识、能力，以及充分发挥碳交易市场的作用。</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碳排放总量和强度“双控”要求企业健全碳排放统计、监测、报告、核查、披露体系。在现有治理机制下，企业碳排放披露体系存在诸多问题。国内尚未建立完善的碳排放信息披露制度，企业碳排放信息披露尚处于初级阶段。对于碳排放信息</w:t>
            </w:r>
            <w:r>
              <w:rPr>
                <w:rFonts w:hint="eastAsia" w:ascii="仿宋" w:hAnsi="仿宋" w:eastAsia="仿宋" w:cs="仿宋"/>
                <w:kern w:val="0"/>
                <w:sz w:val="28"/>
                <w:szCs w:val="28"/>
                <w:lang w:eastAsia="zh-CN"/>
              </w:rPr>
              <w:t>披露</w:t>
            </w:r>
            <w:r>
              <w:rPr>
                <w:rFonts w:hint="eastAsia" w:ascii="仿宋" w:hAnsi="仿宋" w:eastAsia="仿宋" w:cs="仿宋"/>
                <w:kern w:val="0"/>
                <w:sz w:val="28"/>
                <w:szCs w:val="28"/>
              </w:rPr>
              <w:t>缺乏督促企业客观、准确披露碳排放信息的动力。</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探索构建与国际衔接，具有中国特色的企业碳排放信息披露标准，对企业碳排放信息披露的范围及边界进行清晰合理界定；构建企业碳排放信息披露的评估体系，提升披露质量；设计有效的企业碳排放信息披露激励和约束机制，促进企业自主披露。</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仿宋"/>
                <w:kern w:val="0"/>
                <w:sz w:val="32"/>
                <w:szCs w:val="32"/>
              </w:rPr>
            </w:pPr>
            <w:r>
              <w:rPr>
                <w:rFonts w:hint="eastAsia" w:ascii="仿宋" w:hAnsi="仿宋" w:eastAsia="仿宋" w:cs="仿宋"/>
                <w:kern w:val="0"/>
                <w:sz w:val="28"/>
                <w:szCs w:val="28"/>
              </w:rPr>
              <w:t>如何通过经济学、管理学、环境科学和人工智能等多学科交叉融合，创新性解决单个企业和上下游产业链的碳排放信息披露问题，促进企业碳中和转型，积极参与到碳排放市场交易，促进双碳目标实现。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4" w:hRule="atLeast"/>
          <w:jc w:val="center"/>
        </w:trPr>
        <w:tc>
          <w:tcPr>
            <w:tcW w:w="8220" w:type="dxa"/>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lang w:val="zh-TW"/>
              </w:rPr>
            </w:pPr>
            <w:r>
              <w:rPr>
                <w:rFonts w:hint="eastAsia" w:ascii="仿宋" w:hAnsi="仿宋" w:eastAsia="仿宋" w:cs="仿宋"/>
                <w:b/>
                <w:bCs/>
                <w:kern w:val="0"/>
                <w:sz w:val="28"/>
                <w:szCs w:val="28"/>
                <w:lang w:val="zh-TW"/>
              </w:rPr>
              <w:t>关注</w:t>
            </w:r>
            <w:r>
              <w:rPr>
                <w:rFonts w:hint="eastAsia" w:ascii="仿宋" w:hAnsi="仿宋" w:eastAsia="仿宋" w:cs="仿宋"/>
                <w:b/>
                <w:bCs/>
                <w:kern w:val="0"/>
                <w:sz w:val="28"/>
                <w:szCs w:val="28"/>
              </w:rPr>
              <w:t>方向</w:t>
            </w:r>
            <w:r>
              <w:rPr>
                <w:rFonts w:hint="eastAsia" w:ascii="仿宋" w:hAnsi="仿宋" w:eastAsia="仿宋" w:cs="仿宋"/>
                <w:b/>
                <w:bCs/>
                <w:kern w:val="0"/>
                <w:sz w:val="28"/>
                <w:szCs w:val="28"/>
                <w:lang w:val="zh-TW"/>
              </w:rPr>
              <w:t>：</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1.企业碳排放信息披露标准</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2.企业碳排放信息披露评估</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3.企业碳排放信息披露的激励与约束机制</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ascii="仿宋" w:hAnsi="仿宋" w:eastAsia="仿宋" w:cs="仿宋"/>
                <w:kern w:val="0"/>
                <w:sz w:val="32"/>
                <w:szCs w:val="32"/>
              </w:rPr>
            </w:pPr>
            <w:r>
              <w:rPr>
                <w:rFonts w:hint="eastAsia" w:ascii="仿宋" w:hAnsi="仿宋" w:eastAsia="仿宋" w:cs="仿宋"/>
                <w:kern w:val="0"/>
                <w:sz w:val="28"/>
                <w:szCs w:val="28"/>
              </w:rPr>
              <w:t>4.企业碳排放信息披露的区块链应用</w:t>
            </w:r>
          </w:p>
        </w:tc>
      </w:tr>
    </w:tbl>
    <w:p>
      <w:pPr>
        <w:widowControl/>
        <w:jc w:val="left"/>
        <w:rPr>
          <w:rFonts w:ascii="仿宋" w:hAnsi="仿宋" w:eastAsia="仿宋" w:cs="Times New Roman"/>
          <w:b/>
          <w:bCs/>
          <w:sz w:val="32"/>
          <w:szCs w:val="32"/>
        </w:rPr>
      </w:pPr>
      <w:r>
        <w:rPr>
          <w:rFonts w:ascii="仿宋" w:hAnsi="仿宋" w:eastAsia="仿宋" w:cs="Times New Roman"/>
          <w:b/>
          <w:bCs/>
          <w:sz w:val="32"/>
          <w:szCs w:val="32"/>
        </w:rPr>
        <w:br w:type="page"/>
      </w:r>
    </w:p>
    <w:p>
      <w:pPr>
        <w:snapToGrid w:val="0"/>
        <w:spacing w:before="120" w:beforeLines="50" w:after="120" w:afterLines="50" w:line="500" w:lineRule="exact"/>
        <w:jc w:val="center"/>
        <w:rPr>
          <w:rFonts w:ascii="仿宋" w:hAnsi="仿宋" w:eastAsia="仿宋" w:cs="Times New Roman"/>
          <w:b/>
          <w:bCs/>
          <w:sz w:val="32"/>
          <w:szCs w:val="32"/>
        </w:rPr>
      </w:pPr>
      <w:r>
        <w:rPr>
          <w:rFonts w:hint="eastAsia" w:ascii="仿宋" w:hAnsi="仿宋" w:eastAsia="仿宋" w:cs="Times New Roman"/>
          <w:b/>
          <w:bCs/>
          <w:sz w:val="32"/>
          <w:szCs w:val="32"/>
        </w:rPr>
        <w:t>命题2</w:t>
      </w:r>
      <w:r>
        <w:rPr>
          <w:rFonts w:ascii="仿宋" w:hAnsi="仿宋" w:eastAsia="仿宋" w:cs="Times New Roman"/>
          <w:b/>
          <w:bCs/>
          <w:sz w:val="32"/>
          <w:szCs w:val="32"/>
        </w:rPr>
        <w:t>7</w:t>
      </w:r>
      <w:r>
        <w:rPr>
          <w:rFonts w:hint="eastAsia" w:ascii="仿宋" w:hAnsi="仿宋" w:eastAsia="仿宋" w:cs="Times New Roman"/>
          <w:b/>
          <w:bCs/>
          <w:sz w:val="32"/>
          <w:szCs w:val="32"/>
          <w:lang w:eastAsia="zh-CN"/>
        </w:rPr>
        <w:t>（</w:t>
      </w:r>
      <w:r>
        <w:rPr>
          <w:rFonts w:hint="eastAsia" w:ascii="仿宋" w:hAnsi="仿宋" w:eastAsia="仿宋" w:cs="仿宋_GB2312"/>
          <w:b/>
          <w:bCs/>
          <w:sz w:val="32"/>
          <w:szCs w:val="32"/>
        </w:rPr>
        <w:t>赛道六：政策、机制与体系创新</w:t>
      </w:r>
      <w:r>
        <w:rPr>
          <w:rFonts w:hint="eastAsia" w:ascii="仿宋" w:hAnsi="仿宋" w:eastAsia="仿宋" w:cs="仿宋_GB2312"/>
          <w:b/>
          <w:bCs/>
          <w:sz w:val="32"/>
          <w:szCs w:val="32"/>
          <w:lang w:eastAsia="zh-CN"/>
        </w:rPr>
        <w:t>）</w:t>
      </w:r>
    </w:p>
    <w:tbl>
      <w:tblPr>
        <w:tblStyle w:val="3"/>
        <w:tblW w:w="0" w:type="auto"/>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8"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ascii="仿宋" w:hAnsi="仿宋" w:eastAsia="仿宋" w:cs="Times New Roman"/>
                <w:kern w:val="0"/>
                <w:sz w:val="32"/>
                <w:szCs w:val="32"/>
              </w:rPr>
            </w:pPr>
            <w:r>
              <w:rPr>
                <w:rFonts w:hint="eastAsia" w:ascii="仿宋" w:hAnsi="仿宋" w:eastAsia="仿宋" w:cs="仿宋"/>
                <w:b/>
                <w:bCs/>
                <w:kern w:val="0"/>
                <w:sz w:val="28"/>
                <w:szCs w:val="28"/>
              </w:rPr>
              <w:t>主题：未来碳市场与人类生产生活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8" w:type="dxa"/>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根据国际碳行动伙伴组织（ICAP）于2023年3月发布的《全球碳排放权交易：ICAP 2023年进展报告》，全球碳市场在多重挑战下展示了对外界冲击的弹性与韧性，在波动中稳步发展。目前中国全国碳市场覆盖下的碳排放量居世界首位。</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Times New Roman"/>
                <w:kern w:val="0"/>
                <w:sz w:val="32"/>
                <w:szCs w:val="32"/>
              </w:rPr>
            </w:pPr>
            <w:r>
              <w:rPr>
                <w:rFonts w:hint="eastAsia" w:ascii="仿宋" w:hAnsi="仿宋" w:eastAsia="仿宋" w:cs="仿宋"/>
                <w:kern w:val="0"/>
                <w:sz w:val="28"/>
                <w:szCs w:val="28"/>
              </w:rPr>
              <w:t>2020年12月生态环境部审议通过《碳排放权交易管理办法（试行）》，并于2021年2月正式实施，对碳市场建设的责任部门、气体覆盖范围、行业范围、碳交易主体、碳配额方式等作出规定，标志着我国全国性碳交易市场建设的开启。由于中国碳市场尚处于初步发展阶段，仍需向相对成熟的全球典型碳市场汲取经验。覆盖行业和温室气体范围扩大以及配额有偿分配机制的引进等将成为中国碳交易体系的未来发展趋势。而作为全国碳排放权交易市场的重要补充，温室气体自愿减排交易市场（CCER市场）已经暂停了5年多，何时启动成为当前市场最关注的话题之一。若CCER市场重启，碳市场未来走势如何？未来碳市场将如何影响行业发展与居民生活？拟通过本主题，探讨未来碳市场的发展及其对生产生活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8" w:type="dxa"/>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关注方向：</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1.碳普惠</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2.气候金融与气候风险量化</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3.碳定价机制</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4.CCER市场</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ascii="仿宋" w:hAnsi="仿宋" w:eastAsia="仿宋" w:cs="Times New Roman"/>
                <w:kern w:val="0"/>
                <w:sz w:val="32"/>
                <w:szCs w:val="32"/>
              </w:rPr>
            </w:pPr>
            <w:r>
              <w:rPr>
                <w:rFonts w:hint="eastAsia" w:ascii="仿宋" w:hAnsi="仿宋" w:eastAsia="仿宋" w:cs="仿宋"/>
                <w:kern w:val="0"/>
                <w:sz w:val="28"/>
                <w:szCs w:val="28"/>
              </w:rPr>
              <w:t>5.林业碳汇市场</w:t>
            </w:r>
          </w:p>
        </w:tc>
      </w:tr>
    </w:tbl>
    <w:p>
      <w:pPr>
        <w:rPr>
          <w:rFonts w:ascii="仿宋" w:hAnsi="仿宋" w:eastAsia="仿宋" w:cs="仿宋_GB2312"/>
          <w:b/>
          <w:bCs/>
          <w:sz w:val="32"/>
          <w:szCs w:val="32"/>
        </w:rPr>
      </w:pPr>
      <w:r>
        <w:rPr>
          <w:rFonts w:ascii="仿宋" w:hAnsi="仿宋" w:eastAsia="仿宋" w:cs="仿宋_GB2312"/>
          <w:b/>
          <w:bCs/>
          <w:sz w:val="32"/>
          <w:szCs w:val="32"/>
        </w:rPr>
        <w:br w:type="page"/>
      </w:r>
    </w:p>
    <w:p>
      <w:pPr>
        <w:snapToGrid w:val="0"/>
        <w:spacing w:before="120" w:beforeLines="50" w:after="120" w:afterLines="50" w:line="500" w:lineRule="exact"/>
        <w:jc w:val="center"/>
        <w:rPr>
          <w:rFonts w:ascii="仿宋" w:hAnsi="仿宋" w:eastAsia="仿宋" w:cs="仿宋_GB2312"/>
          <w:b/>
          <w:bCs/>
          <w:sz w:val="32"/>
          <w:szCs w:val="32"/>
        </w:rPr>
      </w:pPr>
      <w:r>
        <w:rPr>
          <w:rFonts w:ascii="仿宋" w:hAnsi="仿宋" w:eastAsia="仿宋" w:cs="仿宋_GB2312"/>
          <w:b/>
          <w:bCs/>
          <w:sz w:val="32"/>
          <w:szCs w:val="32"/>
        </w:rPr>
        <w:t>命题28</w:t>
      </w:r>
      <w:r>
        <w:rPr>
          <w:rFonts w:hint="eastAsia" w:ascii="仿宋" w:hAnsi="仿宋" w:eastAsia="仿宋" w:cs="仿宋_GB2312"/>
          <w:b/>
          <w:bCs/>
          <w:sz w:val="32"/>
          <w:szCs w:val="32"/>
          <w:lang w:eastAsia="zh-CN"/>
        </w:rPr>
        <w:t>（</w:t>
      </w:r>
      <w:r>
        <w:rPr>
          <w:rFonts w:ascii="仿宋" w:hAnsi="仿宋" w:eastAsia="仿宋" w:cs="仿宋_GB2312"/>
          <w:b/>
          <w:bCs/>
          <w:sz w:val="32"/>
          <w:szCs w:val="32"/>
        </w:rPr>
        <w:t>赛道</w:t>
      </w:r>
      <w:r>
        <w:rPr>
          <w:rFonts w:hint="eastAsia" w:ascii="仿宋" w:hAnsi="仿宋" w:eastAsia="仿宋" w:cs="仿宋_GB2312"/>
          <w:b/>
          <w:bCs/>
          <w:sz w:val="32"/>
          <w:szCs w:val="32"/>
        </w:rPr>
        <w:t>七</w:t>
      </w:r>
      <w:r>
        <w:rPr>
          <w:rFonts w:hint="eastAsia" w:ascii="仿宋" w:hAnsi="仿宋" w:eastAsia="仿宋" w:cs="仿宋_GB2312"/>
          <w:b/>
          <w:bCs/>
          <w:sz w:val="32"/>
          <w:szCs w:val="32"/>
          <w:lang w:eastAsia="zh-CN"/>
        </w:rPr>
        <w:t>：</w:t>
      </w:r>
      <w:r>
        <w:rPr>
          <w:rFonts w:hint="eastAsia" w:ascii="仿宋" w:hAnsi="仿宋" w:eastAsia="仿宋" w:cs="仿宋_GB2312"/>
          <w:b/>
          <w:bCs/>
          <w:sz w:val="32"/>
          <w:szCs w:val="32"/>
        </w:rPr>
        <w:t>农业生产与环境</w:t>
      </w:r>
      <w:r>
        <w:rPr>
          <w:rFonts w:hint="eastAsia" w:ascii="仿宋" w:hAnsi="仿宋" w:eastAsia="仿宋" w:cs="仿宋_GB2312"/>
          <w:b/>
          <w:bCs/>
          <w:sz w:val="32"/>
          <w:szCs w:val="32"/>
          <w:lang w:eastAsia="zh-CN"/>
        </w:rPr>
        <w:t>）</w:t>
      </w:r>
    </w:p>
    <w:p>
      <w:pPr>
        <w:spacing w:line="20" w:lineRule="auto"/>
        <w:rPr>
          <w:rFonts w:ascii="仿宋" w:hAnsi="仿宋" w:eastAsia="仿宋"/>
          <w:sz w:val="32"/>
          <w:szCs w:val="32"/>
        </w:rPr>
      </w:pPr>
    </w:p>
    <w:tbl>
      <w:tblPr>
        <w:tblStyle w:val="6"/>
        <w:tblW w:w="825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5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8" w:hRule="atLeast"/>
          <w:jc w:val="center"/>
        </w:trPr>
        <w:tc>
          <w:tcPr>
            <w:tcW w:w="8254" w:type="dxa"/>
            <w:vAlign w:val="center"/>
          </w:tcPr>
          <w:p>
            <w:pPr>
              <w:spacing w:line="219" w:lineRule="auto"/>
              <w:rPr>
                <w:rFonts w:ascii="仿宋" w:hAnsi="仿宋" w:eastAsia="仿宋" w:cs="仿宋"/>
                <w:kern w:val="0"/>
                <w:sz w:val="32"/>
                <w:szCs w:val="32"/>
              </w:rPr>
            </w:pPr>
            <w:r>
              <w:rPr>
                <w:rFonts w:hint="eastAsia" w:ascii="仿宋" w:hAnsi="仿宋" w:eastAsia="仿宋" w:cs="仿宋"/>
                <w:b/>
                <w:bCs/>
                <w:kern w:val="0"/>
                <w:sz w:val="28"/>
                <w:szCs w:val="28"/>
              </w:rPr>
              <w:t>主题：种植业绿色生产和农产品低碳加工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11" w:hRule="atLeast"/>
          <w:jc w:val="center"/>
        </w:trPr>
        <w:tc>
          <w:tcPr>
            <w:tcW w:w="8254"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当前农业资源高度消耗、种植业绿色生产和农产品低碳加工技术落后等问题逐渐突出。加快推进种植业节能减排及农产品低碳生产，提高农业资源利用效率，改善农业农村生态环境，实现农业绿色发展，将农业农村建设成为美丽中国的“生态屏障”，是建设农业生态文明的内在要求。</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种植业是温室气体的主要排放源之一，排放量占我国温室气体排放总量的24%，如何通过有效措施来减少资源浪费和环境污染以助力我国实现“双碳”目标成为迫在眉睫的问题。一方面种植业节能减排主要途径包括优质绿色新品种应用、节水灌溉技术、化肥农药减量增效技术，绿色高效栽培技术等。另一方面，农产品加工过程中所产生的大量的碳给环境带来污染，也是制约我国农业绿色发展和乡村振兴的重要因素，低碳生产工艺备受关注，尤其在低碳农产品生产工艺，低碳农产品供应链管理方案设计及种植业碳核算方法学构建等方面，应重点加强对上述科学问题的研究。</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仿宋"/>
                <w:spacing w:val="-9"/>
                <w:kern w:val="0"/>
                <w:sz w:val="32"/>
                <w:szCs w:val="32"/>
              </w:rPr>
            </w:pPr>
            <w:r>
              <w:rPr>
                <w:rFonts w:hint="eastAsia" w:ascii="仿宋" w:hAnsi="仿宋" w:eastAsia="仿宋" w:cs="仿宋"/>
                <w:kern w:val="0"/>
                <w:sz w:val="28"/>
                <w:szCs w:val="28"/>
              </w:rPr>
              <w:t>拟通过本主题，合众之力，推动种植业节能减排与农产品低碳生产工艺的创新发展，加快推进种植业节能减排，提高种植业资源利用效率，改善种植业生态环境，实现种植业绿色发展，服务“双碳”目标、粮食安全、农业高质量发展和保障人民健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7" w:hRule="atLeast"/>
          <w:jc w:val="center"/>
        </w:trPr>
        <w:tc>
          <w:tcPr>
            <w:tcW w:w="8254"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关注方向：</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1.高产、优质、低碳品种选育</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2.绿色高效种植技术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3.化肥农药减量增效技术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4.低碳农产品生产工艺</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5.低碳农产品供应链管理方案设计</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ascii="仿宋" w:hAnsi="仿宋" w:eastAsia="仿宋" w:cs="仿宋"/>
                <w:spacing w:val="-4"/>
                <w:kern w:val="0"/>
                <w:sz w:val="32"/>
                <w:szCs w:val="32"/>
              </w:rPr>
            </w:pPr>
            <w:r>
              <w:rPr>
                <w:rFonts w:hint="eastAsia" w:ascii="仿宋" w:hAnsi="仿宋" w:eastAsia="仿宋" w:cs="仿宋"/>
                <w:kern w:val="0"/>
                <w:sz w:val="28"/>
                <w:szCs w:val="28"/>
              </w:rPr>
              <w:t>6.种植业碳核算方法学构建</w:t>
            </w:r>
          </w:p>
        </w:tc>
      </w:tr>
    </w:tbl>
    <w:p>
      <w:pPr>
        <w:rPr>
          <w:rFonts w:ascii="仿宋" w:hAnsi="仿宋" w:eastAsia="仿宋"/>
          <w:sz w:val="32"/>
          <w:szCs w:val="32"/>
        </w:rPr>
        <w:sectPr>
          <w:pgSz w:w="11907" w:h="16839"/>
          <w:pgMar w:top="1431" w:right="1785" w:bottom="1394" w:left="1785" w:header="0" w:footer="1233" w:gutter="0"/>
          <w:cols w:space="720" w:num="1"/>
        </w:sectPr>
      </w:pPr>
    </w:p>
    <w:p>
      <w:pPr>
        <w:snapToGrid w:val="0"/>
        <w:spacing w:before="120" w:beforeLines="50" w:after="120" w:afterLines="50" w:line="500" w:lineRule="exact"/>
        <w:jc w:val="center"/>
        <w:rPr>
          <w:rFonts w:ascii="仿宋" w:hAnsi="仿宋" w:eastAsia="仿宋" w:cs="仿宋_GB2312"/>
          <w:b/>
          <w:bCs/>
          <w:sz w:val="32"/>
          <w:szCs w:val="32"/>
        </w:rPr>
      </w:pPr>
      <w:r>
        <w:rPr>
          <w:rFonts w:ascii="仿宋" w:hAnsi="仿宋" w:eastAsia="仿宋" w:cs="仿宋_GB2312"/>
          <w:b/>
          <w:bCs/>
          <w:sz w:val="32"/>
          <w:szCs w:val="32"/>
        </w:rPr>
        <w:t>命题29</w:t>
      </w:r>
      <w:r>
        <w:rPr>
          <w:rFonts w:hint="eastAsia" w:ascii="仿宋" w:hAnsi="仿宋" w:eastAsia="仿宋" w:cs="仿宋_GB2312"/>
          <w:b/>
          <w:bCs/>
          <w:sz w:val="32"/>
          <w:szCs w:val="32"/>
          <w:lang w:eastAsia="zh-CN"/>
        </w:rPr>
        <w:t>（</w:t>
      </w:r>
      <w:r>
        <w:rPr>
          <w:rFonts w:ascii="仿宋" w:hAnsi="仿宋" w:eastAsia="仿宋" w:cs="仿宋_GB2312"/>
          <w:b/>
          <w:bCs/>
          <w:sz w:val="32"/>
          <w:szCs w:val="32"/>
        </w:rPr>
        <w:t>赛道</w:t>
      </w:r>
      <w:r>
        <w:rPr>
          <w:rFonts w:hint="eastAsia" w:ascii="仿宋" w:hAnsi="仿宋" w:eastAsia="仿宋" w:cs="仿宋_GB2312"/>
          <w:b/>
          <w:bCs/>
          <w:sz w:val="32"/>
          <w:szCs w:val="32"/>
        </w:rPr>
        <w:t>七</w:t>
      </w:r>
      <w:r>
        <w:rPr>
          <w:rFonts w:ascii="仿宋" w:hAnsi="仿宋" w:eastAsia="仿宋" w:cs="仿宋_GB2312"/>
          <w:b/>
          <w:bCs/>
          <w:sz w:val="32"/>
          <w:szCs w:val="32"/>
        </w:rPr>
        <w:t>：</w:t>
      </w:r>
      <w:r>
        <w:rPr>
          <w:rFonts w:hint="eastAsia" w:ascii="仿宋" w:hAnsi="仿宋" w:eastAsia="仿宋" w:cs="仿宋_GB2312"/>
          <w:b/>
          <w:bCs/>
          <w:sz w:val="32"/>
          <w:szCs w:val="32"/>
        </w:rPr>
        <w:t>农业生产与环境</w:t>
      </w:r>
      <w:r>
        <w:rPr>
          <w:rFonts w:hint="eastAsia" w:ascii="仿宋" w:hAnsi="仿宋" w:eastAsia="仿宋" w:cs="仿宋_GB2312"/>
          <w:b/>
          <w:bCs/>
          <w:sz w:val="32"/>
          <w:szCs w:val="32"/>
          <w:lang w:eastAsia="zh-CN"/>
        </w:rPr>
        <w:t>）</w:t>
      </w:r>
    </w:p>
    <w:p>
      <w:pPr>
        <w:spacing w:line="20" w:lineRule="auto"/>
        <w:rPr>
          <w:rFonts w:ascii="仿宋" w:hAnsi="仿宋" w:eastAsia="仿宋"/>
          <w:sz w:val="32"/>
          <w:szCs w:val="32"/>
        </w:rPr>
      </w:pPr>
    </w:p>
    <w:tbl>
      <w:tblPr>
        <w:tblStyle w:val="6"/>
        <w:tblW w:w="825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5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8" w:hRule="atLeast"/>
          <w:jc w:val="center"/>
        </w:trPr>
        <w:tc>
          <w:tcPr>
            <w:tcW w:w="8254"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ascii="仿宋" w:hAnsi="仿宋" w:eastAsia="仿宋" w:cs="仿宋"/>
                <w:kern w:val="0"/>
                <w:sz w:val="32"/>
                <w:szCs w:val="32"/>
              </w:rPr>
            </w:pPr>
            <w:r>
              <w:rPr>
                <w:rFonts w:hint="eastAsia" w:ascii="仿宋" w:hAnsi="仿宋" w:eastAsia="仿宋" w:cs="仿宋"/>
                <w:b/>
                <w:bCs/>
                <w:kern w:val="0"/>
                <w:sz w:val="28"/>
                <w:szCs w:val="28"/>
              </w:rPr>
              <w:t>主题：养殖业减排降碳与产品设计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93" w:hRule="atLeast"/>
          <w:jc w:val="center"/>
        </w:trPr>
        <w:tc>
          <w:tcPr>
            <w:tcW w:w="8254"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随着“双碳”目标的明确提出，作为主要碳源的畜牧业亟须向高质量绿色低碳发展转型。从全球范围来看，畜牧业具有极大的减排潜力。到2030年，全球畜牧业系统的升级每年将贡献7.36亿吨二氧化碳当量的减排。通过在饲喂、放牧及粪便管理等方面推广使用现有的最佳规范和先进技术，畜牧部门温室气体减排可达30%。</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在国家提倡“大食物观”的多元食物供给要求和“双碳”任务约束下，在畜牧业转型升级的关键时期，推进畜牧业高质量绿色低碳发展不仅可以保障国家食物安全，还能减轻碳排放压力。“减排降碳”不但是环境友好型政策，同时具备“增产提效”的特点。畜牧业中，减少碳排放意味着营养物质的高效利用与产品的提质增效，在品种改良、畜禽日粮搭配优化、粪污资源循环利用、畜禽饲养管理改善等多方面共同努力下，助力“双碳”目标的实现。此外，为了量化畜禽养殖业的碳排放，为畜禽养殖业的碳减排提供依据，寻找合适的畜禽养殖业碳排放计算方法成为目前的研究热点。</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仿宋"/>
                <w:kern w:val="0"/>
                <w:sz w:val="32"/>
                <w:szCs w:val="32"/>
              </w:rPr>
            </w:pPr>
            <w:r>
              <w:rPr>
                <w:rFonts w:hint="eastAsia" w:ascii="仿宋" w:hAnsi="仿宋" w:eastAsia="仿宋" w:cs="仿宋"/>
                <w:kern w:val="0"/>
                <w:sz w:val="28"/>
                <w:szCs w:val="28"/>
              </w:rPr>
              <w:t>拟通过本主题，高产低排放畜禽品种改良技术、精准饲喂技术、产品低碳生产技术、畜禽粪污资源化利用技术、养殖业碳核算方法学构建等方面，推动畜牧业固碳减排，探索绿色健康型畜牧业。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jc w:val="center"/>
        </w:trPr>
        <w:tc>
          <w:tcPr>
            <w:tcW w:w="8254"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关注方向：</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1.高产低排放畜禽品种改良技术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2.精准饲喂技术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3.产品低碳生产技术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4.畜禽粪污资源化利用技术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ascii="仿宋" w:hAnsi="仿宋" w:eastAsia="仿宋" w:cs="仿宋"/>
                <w:spacing w:val="-4"/>
                <w:kern w:val="0"/>
                <w:sz w:val="32"/>
                <w:szCs w:val="32"/>
              </w:rPr>
            </w:pPr>
            <w:r>
              <w:rPr>
                <w:rFonts w:hint="eastAsia" w:ascii="仿宋" w:hAnsi="仿宋" w:eastAsia="仿宋" w:cs="仿宋"/>
                <w:kern w:val="0"/>
                <w:sz w:val="28"/>
                <w:szCs w:val="28"/>
              </w:rPr>
              <w:t>5.养殖业碳核算方法学构建</w:t>
            </w:r>
          </w:p>
        </w:tc>
      </w:tr>
    </w:tbl>
    <w:p>
      <w:pPr>
        <w:rPr>
          <w:rFonts w:ascii="仿宋" w:hAnsi="仿宋" w:eastAsia="仿宋"/>
          <w:sz w:val="32"/>
          <w:szCs w:val="32"/>
        </w:rPr>
        <w:sectPr>
          <w:pgSz w:w="11907" w:h="16839"/>
          <w:pgMar w:top="1431" w:right="1785" w:bottom="1394" w:left="1785" w:header="0" w:footer="1233" w:gutter="0"/>
          <w:cols w:space="720" w:num="1"/>
        </w:sectPr>
      </w:pPr>
    </w:p>
    <w:p>
      <w:pPr>
        <w:snapToGrid w:val="0"/>
        <w:spacing w:before="120" w:beforeLines="50" w:after="120" w:afterLines="50" w:line="500" w:lineRule="exact"/>
        <w:jc w:val="center"/>
        <w:rPr>
          <w:rFonts w:ascii="仿宋" w:hAnsi="仿宋" w:eastAsia="仿宋" w:cs="仿宋_GB2312"/>
          <w:b/>
          <w:bCs/>
          <w:sz w:val="32"/>
          <w:szCs w:val="32"/>
        </w:rPr>
      </w:pPr>
      <w:r>
        <w:rPr>
          <w:rFonts w:ascii="仿宋" w:hAnsi="仿宋" w:eastAsia="仿宋" w:cs="仿宋_GB2312"/>
          <w:b/>
          <w:bCs/>
          <w:sz w:val="32"/>
          <w:szCs w:val="32"/>
        </w:rPr>
        <w:t>命题</w:t>
      </w:r>
      <w:r>
        <w:rPr>
          <w:rFonts w:hint="eastAsia" w:ascii="仿宋" w:hAnsi="仿宋" w:eastAsia="仿宋" w:cs="仿宋_GB2312"/>
          <w:b/>
          <w:bCs/>
          <w:sz w:val="32"/>
          <w:szCs w:val="32"/>
        </w:rPr>
        <w:t>3</w:t>
      </w:r>
      <w:r>
        <w:rPr>
          <w:rFonts w:ascii="仿宋" w:hAnsi="仿宋" w:eastAsia="仿宋" w:cs="仿宋_GB2312"/>
          <w:b/>
          <w:bCs/>
          <w:sz w:val="32"/>
          <w:szCs w:val="32"/>
        </w:rPr>
        <w:t>0</w:t>
      </w:r>
      <w:r>
        <w:rPr>
          <w:rFonts w:hint="eastAsia" w:ascii="仿宋" w:hAnsi="仿宋" w:eastAsia="仿宋" w:cs="仿宋_GB2312"/>
          <w:b/>
          <w:bCs/>
          <w:sz w:val="32"/>
          <w:szCs w:val="32"/>
          <w:lang w:eastAsia="zh-CN"/>
        </w:rPr>
        <w:t>（</w:t>
      </w:r>
      <w:r>
        <w:rPr>
          <w:rFonts w:ascii="仿宋" w:hAnsi="仿宋" w:eastAsia="仿宋" w:cs="仿宋_GB2312"/>
          <w:b/>
          <w:bCs/>
          <w:sz w:val="32"/>
          <w:szCs w:val="32"/>
        </w:rPr>
        <w:t>赛道</w:t>
      </w:r>
      <w:r>
        <w:rPr>
          <w:rFonts w:hint="eastAsia" w:ascii="仿宋" w:hAnsi="仿宋" w:eastAsia="仿宋" w:cs="仿宋_GB2312"/>
          <w:b/>
          <w:bCs/>
          <w:sz w:val="32"/>
          <w:szCs w:val="32"/>
        </w:rPr>
        <w:t>七</w:t>
      </w:r>
      <w:r>
        <w:rPr>
          <w:rFonts w:ascii="仿宋" w:hAnsi="仿宋" w:eastAsia="仿宋" w:cs="仿宋_GB2312"/>
          <w:b/>
          <w:bCs/>
          <w:sz w:val="32"/>
          <w:szCs w:val="32"/>
        </w:rPr>
        <w:t>：</w:t>
      </w:r>
      <w:r>
        <w:rPr>
          <w:rFonts w:hint="eastAsia" w:ascii="仿宋" w:hAnsi="仿宋" w:eastAsia="仿宋" w:cs="仿宋_GB2312"/>
          <w:b/>
          <w:bCs/>
          <w:sz w:val="32"/>
          <w:szCs w:val="32"/>
        </w:rPr>
        <w:t>农业生产与环境</w:t>
      </w:r>
      <w:r>
        <w:rPr>
          <w:rFonts w:hint="eastAsia" w:ascii="仿宋" w:hAnsi="仿宋" w:eastAsia="仿宋" w:cs="仿宋_GB2312"/>
          <w:b/>
          <w:bCs/>
          <w:sz w:val="32"/>
          <w:szCs w:val="32"/>
          <w:lang w:eastAsia="zh-CN"/>
        </w:rPr>
        <w:t>）</w:t>
      </w:r>
    </w:p>
    <w:tbl>
      <w:tblPr>
        <w:tblStyle w:val="6"/>
        <w:tblW w:w="822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2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jc w:val="center"/>
        </w:trPr>
        <w:tc>
          <w:tcPr>
            <w:tcW w:w="822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ascii="仿宋" w:hAnsi="仿宋" w:eastAsia="仿宋" w:cs="Times New Roman"/>
                <w:kern w:val="0"/>
                <w:sz w:val="32"/>
                <w:szCs w:val="32"/>
              </w:rPr>
            </w:pPr>
            <w:r>
              <w:rPr>
                <w:rFonts w:hint="eastAsia" w:ascii="仿宋" w:hAnsi="仿宋" w:eastAsia="仿宋" w:cs="仿宋"/>
                <w:b/>
                <w:bCs/>
                <w:kern w:val="0"/>
                <w:sz w:val="28"/>
                <w:szCs w:val="28"/>
              </w:rPr>
              <w:t>主题：农业水土资源高效利用技术与治理方法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6" w:hRule="atLeast"/>
          <w:jc w:val="center"/>
        </w:trPr>
        <w:tc>
          <w:tcPr>
            <w:tcW w:w="822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农业是温室气体的排放源之一，更是固碳增汇的主要贡献者。推进农业减排固碳，是我国碳达峰碳中和的重要组成部分。水土资源是农业发展的基础，农业水土资源的低碳高效利用是农业固碳减排的重要途径。</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目前，土壤障碍、面源污染、水土资源短缺等成为农业现代化生产的制约因素，在资源短缺、粮食安全、碳中和及变化环境的大背景下，农业水土资源的高效利用与治理面临巨大挑战。2022年，农业农村部和国家发展改革委联合发布《农业农村减排固碳实施方案》，明确“六大任务”和“十大行动”。如何优化农田水分管理，建立适宜节水灌溉技术？如何绿色低碳综合利用农业水土资源？如何构建农田</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生态</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经济系统可持续管理模式？如何构建障碍土壤治理及修复技术？如何建立低碳农田污染处理技术以及农业面源污染削减控制技术？将成为农业碳达峰碳中和实施路径的关键问题。</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Times New Roman"/>
                <w:spacing w:val="-2"/>
                <w:kern w:val="0"/>
                <w:sz w:val="32"/>
                <w:szCs w:val="32"/>
              </w:rPr>
            </w:pPr>
            <w:r>
              <w:rPr>
                <w:rFonts w:hint="eastAsia" w:ascii="仿宋" w:hAnsi="仿宋" w:eastAsia="仿宋" w:cs="仿宋"/>
                <w:kern w:val="0"/>
                <w:sz w:val="28"/>
                <w:szCs w:val="28"/>
              </w:rPr>
              <w:t>拟通过本主题，协同创新，探索绿色、低碳、高效的农业水土高效资源利用与治理技术，践行农业碳汇能力提升理念，实现农业绿色低碳发展生态模式。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jc w:val="center"/>
        </w:trPr>
        <w:tc>
          <w:tcPr>
            <w:tcW w:w="822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关注方向：</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1.节水灌溉技术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2.障碍土壤修复技术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3.农业面源污染削减方法</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4.农田生态系统水</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土</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能-碳关联分析与调控</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ascii="仿宋" w:hAnsi="仿宋" w:eastAsia="仿宋" w:cs="Times New Roman"/>
                <w:spacing w:val="8"/>
                <w:kern w:val="0"/>
                <w:sz w:val="32"/>
                <w:szCs w:val="32"/>
              </w:rPr>
            </w:pPr>
            <w:r>
              <w:rPr>
                <w:rFonts w:hint="eastAsia" w:ascii="仿宋" w:hAnsi="仿宋" w:eastAsia="仿宋" w:cs="仿宋"/>
                <w:kern w:val="0"/>
                <w:sz w:val="28"/>
                <w:szCs w:val="28"/>
              </w:rPr>
              <w:t>5.农田</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生态</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经济系统可持续管理模式</w:t>
            </w:r>
          </w:p>
        </w:tc>
      </w:tr>
    </w:tbl>
    <w:p>
      <w:pPr>
        <w:rPr>
          <w:rFonts w:ascii="仿宋" w:hAnsi="仿宋" w:eastAsia="仿宋"/>
          <w:sz w:val="32"/>
          <w:szCs w:val="32"/>
        </w:rPr>
        <w:sectPr>
          <w:pgSz w:w="11907" w:h="16839"/>
          <w:pgMar w:top="1431" w:right="1785" w:bottom="1394" w:left="1785" w:header="0" w:footer="1233" w:gutter="0"/>
          <w:cols w:space="720" w:num="1"/>
        </w:sectPr>
      </w:pPr>
    </w:p>
    <w:p>
      <w:pPr>
        <w:snapToGrid w:val="0"/>
        <w:spacing w:before="120" w:beforeLines="50" w:after="120" w:afterLines="50" w:line="500" w:lineRule="exact"/>
        <w:jc w:val="center"/>
        <w:rPr>
          <w:rFonts w:ascii="仿宋" w:hAnsi="仿宋" w:eastAsia="仿宋" w:cs="仿宋_GB2312"/>
          <w:b/>
          <w:bCs/>
          <w:sz w:val="32"/>
          <w:szCs w:val="32"/>
        </w:rPr>
      </w:pPr>
      <w:r>
        <w:rPr>
          <w:rFonts w:ascii="仿宋" w:hAnsi="仿宋" w:eastAsia="仿宋" w:cs="仿宋_GB2312"/>
          <w:b/>
          <w:bCs/>
          <w:sz w:val="32"/>
          <w:szCs w:val="32"/>
        </w:rPr>
        <w:t>命题31</w:t>
      </w:r>
      <w:r>
        <w:rPr>
          <w:rFonts w:hint="eastAsia" w:ascii="仿宋" w:hAnsi="仿宋" w:eastAsia="仿宋" w:cs="仿宋_GB2312"/>
          <w:b/>
          <w:bCs/>
          <w:sz w:val="32"/>
          <w:szCs w:val="32"/>
          <w:lang w:eastAsia="zh-CN"/>
        </w:rPr>
        <w:t>（</w:t>
      </w:r>
      <w:r>
        <w:rPr>
          <w:rFonts w:ascii="仿宋" w:hAnsi="仿宋" w:eastAsia="仿宋" w:cs="仿宋_GB2312"/>
          <w:b/>
          <w:bCs/>
          <w:sz w:val="32"/>
          <w:szCs w:val="32"/>
        </w:rPr>
        <w:t>赛道</w:t>
      </w:r>
      <w:r>
        <w:rPr>
          <w:rFonts w:hint="eastAsia" w:ascii="仿宋" w:hAnsi="仿宋" w:eastAsia="仿宋" w:cs="仿宋_GB2312"/>
          <w:b/>
          <w:bCs/>
          <w:sz w:val="32"/>
          <w:szCs w:val="32"/>
        </w:rPr>
        <w:t>七</w:t>
      </w:r>
      <w:r>
        <w:rPr>
          <w:rFonts w:ascii="仿宋" w:hAnsi="仿宋" w:eastAsia="仿宋" w:cs="仿宋_GB2312"/>
          <w:b/>
          <w:bCs/>
          <w:sz w:val="32"/>
          <w:szCs w:val="32"/>
        </w:rPr>
        <w:t>：</w:t>
      </w:r>
      <w:r>
        <w:rPr>
          <w:rFonts w:hint="eastAsia" w:ascii="仿宋" w:hAnsi="仿宋" w:eastAsia="仿宋" w:cs="仿宋_GB2312"/>
          <w:b/>
          <w:bCs/>
          <w:sz w:val="32"/>
          <w:szCs w:val="32"/>
        </w:rPr>
        <w:t>农业生产与环境</w:t>
      </w:r>
      <w:r>
        <w:rPr>
          <w:rFonts w:hint="eastAsia" w:ascii="仿宋" w:hAnsi="仿宋" w:eastAsia="仿宋" w:cs="仿宋_GB2312"/>
          <w:b/>
          <w:bCs/>
          <w:sz w:val="32"/>
          <w:szCs w:val="32"/>
          <w:lang w:eastAsia="zh-CN"/>
        </w:rPr>
        <w:t>）</w:t>
      </w:r>
    </w:p>
    <w:tbl>
      <w:tblPr>
        <w:tblStyle w:val="6"/>
        <w:tblW w:w="822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2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jc w:val="center"/>
        </w:trPr>
        <w:tc>
          <w:tcPr>
            <w:tcW w:w="822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ascii="仿宋" w:hAnsi="仿宋" w:eastAsia="仿宋" w:cs="Times New Roman"/>
                <w:kern w:val="0"/>
                <w:sz w:val="32"/>
                <w:szCs w:val="32"/>
              </w:rPr>
            </w:pPr>
            <w:r>
              <w:rPr>
                <w:rFonts w:hint="eastAsia" w:ascii="仿宋" w:hAnsi="仿宋" w:eastAsia="仿宋" w:cs="仿宋"/>
                <w:b/>
                <w:bCs/>
                <w:kern w:val="0"/>
                <w:sz w:val="28"/>
                <w:szCs w:val="28"/>
              </w:rPr>
              <w:t>主题：农机节能减排与农业信息化技术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59" w:hRule="atLeast"/>
          <w:jc w:val="center"/>
        </w:trPr>
        <w:tc>
          <w:tcPr>
            <w:tcW w:w="822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农机是促进农业生产的核心要素，然而碳排放量达20万吨/年，相当于工程机械、船舶、铁路内燃机车和飞机碳排放量的总和。因此，推广低碳节能农机装备，降低化石能源消耗和碳排放，对能源与环境具有重大意义。</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如何通过有效措施实现农机节能减排，助力实现“双碳”目标，亟需推广信息化技术，优化农机装备结构，加快复式、高效、绿色、智能农机技术装备普及应用。一方面因地制宜发展复式、高效农机装备和电动农机装备；通过优化设计农机装备结构，减少种子、化肥、农药、水资源用量；构建作物监测、农业生产和机械联合配置的节能管理体系，完善农机排放标准；最终实现农机节能减排的目标。另一方面利用5G、大数据、云计算、信息获取与决策等信息化技术，融合农业生产技术，研究智能农机装备或农业机器人，获取田间作物信息与构建决策模型，实现自主、精准、高效地从事耕作、播种、施肥、喷药、灌溉与收获等农业生产活动。</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Times New Roman"/>
                <w:spacing w:val="1"/>
                <w:kern w:val="0"/>
                <w:sz w:val="32"/>
                <w:szCs w:val="32"/>
              </w:rPr>
            </w:pPr>
            <w:r>
              <w:rPr>
                <w:rFonts w:hint="eastAsia" w:ascii="仿宋" w:hAnsi="仿宋" w:eastAsia="仿宋" w:cs="仿宋"/>
                <w:kern w:val="0"/>
                <w:sz w:val="28"/>
                <w:szCs w:val="28"/>
              </w:rPr>
              <w:t>拟通过本主题，纳真知灼见</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聚学术资源，希望大家能为农机节能减排与农业信息化技术寻求新思路，为“双碳”目标的实现贡献一份智慧与力量。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03" w:hRule="atLeast"/>
          <w:jc w:val="center"/>
        </w:trPr>
        <w:tc>
          <w:tcPr>
            <w:tcW w:w="822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关注方向：</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1.复式、高效、电动农机装备设计</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2.节种节水节能节肥节药的农机化技术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3.农业机器人应用方案设计</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4.农业信息获取与决策支持系统设计</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ascii="仿宋" w:hAnsi="仿宋" w:eastAsia="仿宋" w:cs="Times New Roman"/>
                <w:spacing w:val="1"/>
                <w:kern w:val="0"/>
                <w:sz w:val="32"/>
                <w:szCs w:val="32"/>
              </w:rPr>
            </w:pPr>
            <w:r>
              <w:rPr>
                <w:rFonts w:hint="eastAsia" w:ascii="仿宋" w:hAnsi="仿宋" w:eastAsia="仿宋" w:cs="仿宋"/>
                <w:kern w:val="0"/>
                <w:sz w:val="28"/>
                <w:szCs w:val="28"/>
              </w:rPr>
              <w:t>5.农业减排固碳监测集成技术</w:t>
            </w:r>
          </w:p>
        </w:tc>
      </w:tr>
    </w:tbl>
    <w:p>
      <w:pPr>
        <w:spacing w:line="420" w:lineRule="exact"/>
        <w:rPr>
          <w:rFonts w:ascii="仿宋" w:hAnsi="仿宋" w:eastAsia="仿宋" w:cs="Times New Roman"/>
          <w:sz w:val="32"/>
          <w:szCs w:val="32"/>
        </w:rPr>
        <w:sectPr>
          <w:footerReference r:id="rId3" w:type="default"/>
          <w:pgSz w:w="11907" w:h="16839"/>
          <w:pgMar w:top="1428" w:right="1785" w:bottom="1394" w:left="1785" w:header="0" w:footer="1233" w:gutter="0"/>
          <w:cols w:space="720" w:num="1"/>
        </w:sectPr>
      </w:pPr>
    </w:p>
    <w:p>
      <w:pPr>
        <w:snapToGrid w:val="0"/>
        <w:spacing w:before="156" w:beforeLines="50" w:after="156" w:afterLines="50" w:line="500" w:lineRule="exact"/>
        <w:jc w:val="center"/>
        <w:rPr>
          <w:rFonts w:ascii="仿宋" w:hAnsi="仿宋" w:eastAsia="仿宋" w:cs="仿宋_GB2312"/>
          <w:b/>
          <w:bCs/>
          <w:sz w:val="32"/>
          <w:szCs w:val="32"/>
        </w:rPr>
      </w:pPr>
      <w:r>
        <w:rPr>
          <w:rFonts w:ascii="仿宋" w:hAnsi="仿宋" w:eastAsia="仿宋" w:cs="仿宋_GB2312"/>
          <w:b/>
          <w:bCs/>
          <w:sz w:val="32"/>
          <w:szCs w:val="32"/>
        </w:rPr>
        <w:t>命题3</w:t>
      </w:r>
      <w:r>
        <w:rPr>
          <w:rFonts w:hint="eastAsia" w:ascii="仿宋" w:hAnsi="仿宋" w:eastAsia="仿宋" w:cs="仿宋_GB2312"/>
          <w:b/>
          <w:bCs/>
          <w:sz w:val="32"/>
          <w:szCs w:val="32"/>
          <w:lang w:val="en-US" w:eastAsia="zh-CN"/>
        </w:rPr>
        <w:t>2（</w:t>
      </w:r>
      <w:r>
        <w:rPr>
          <w:rFonts w:ascii="仿宋" w:hAnsi="仿宋" w:eastAsia="仿宋" w:cs="仿宋_GB2312"/>
          <w:b/>
          <w:bCs/>
          <w:sz w:val="32"/>
          <w:szCs w:val="32"/>
        </w:rPr>
        <w:t>赛道</w:t>
      </w:r>
      <w:r>
        <w:rPr>
          <w:rFonts w:hint="eastAsia" w:ascii="仿宋" w:hAnsi="仿宋" w:eastAsia="仿宋" w:cs="仿宋_GB2312"/>
          <w:b/>
          <w:bCs/>
          <w:sz w:val="32"/>
          <w:szCs w:val="32"/>
        </w:rPr>
        <w:t>七</w:t>
      </w:r>
      <w:r>
        <w:rPr>
          <w:rFonts w:ascii="仿宋" w:hAnsi="仿宋" w:eastAsia="仿宋" w:cs="仿宋_GB2312"/>
          <w:b/>
          <w:bCs/>
          <w:sz w:val="32"/>
          <w:szCs w:val="32"/>
        </w:rPr>
        <w:t>：</w:t>
      </w:r>
      <w:r>
        <w:rPr>
          <w:rFonts w:hint="eastAsia" w:ascii="仿宋" w:hAnsi="仿宋" w:eastAsia="仿宋" w:cs="仿宋_GB2312"/>
          <w:b/>
          <w:bCs/>
          <w:sz w:val="32"/>
          <w:szCs w:val="32"/>
        </w:rPr>
        <w:t>农业生产与环境</w:t>
      </w:r>
      <w:r>
        <w:rPr>
          <w:rFonts w:hint="eastAsia" w:ascii="仿宋" w:hAnsi="仿宋" w:eastAsia="仿宋" w:cs="仿宋_GB2312"/>
          <w:b/>
          <w:bCs/>
          <w:sz w:val="32"/>
          <w:szCs w:val="32"/>
          <w:lang w:eastAsia="zh-CN"/>
        </w:rPr>
        <w:t>）</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rPr>
                <w:rFonts w:ascii="仿宋" w:hAnsi="仿宋" w:eastAsia="仿宋" w:cs="Times New Roman"/>
                <w:kern w:val="0"/>
                <w:sz w:val="32"/>
                <w:szCs w:val="32"/>
              </w:rPr>
            </w:pPr>
            <w:r>
              <w:rPr>
                <w:rFonts w:hint="eastAsia" w:ascii="仿宋" w:hAnsi="仿宋" w:eastAsia="仿宋" w:cs="仿宋"/>
                <w:b/>
                <w:bCs/>
                <w:kern w:val="0"/>
                <w:sz w:val="28"/>
                <w:szCs w:val="28"/>
              </w:rPr>
              <w:t>主题：农业减排固碳的支撑体系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背景情况概述：</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2022年6月30日，农业农村部、国家发展改革委公布《农业农村减排固碳实施方案》，《方案》提出，围绕种植业节能减排、畜牧业减排降碳、渔业减排增汇、农田固碳扩容、农机节能减排、可再生能源替代等六项任务，实施稻田甲烷减排、化肥减量增效、畜禽低碳减排、渔业减排增汇、农机绿色节能、农田碳汇提升、秸秆综合利用、可再生能源替代、科技创新支撑、监测体系建设等十大行动。农业农村部高度重视农业生态环境保护与农业农村减排固碳，与7部门联合出台《国家黑土地保护工程实施方案（2021—2025年）》提升农业生态系统碳汇。农业农村部也将进一步继续协同推进农业生态环境保护与农业农村减排固碳，加快推进相关重大工程、重大行动组织实施，推动农业领域减污降碳协同增效；推进山水林田湖草沙一体化保护和系统治理，继续推进高标准农田建设、黑土地保护工程、秸秆科学还田等，增加农田有机质含量，提升农业生态系统固碳增汇能力；同时加大农业绿色低碳科技创新力度，聚焦技术瓶颈和短板问题，加强关键核心技术攻关，加快成熟适用技术推广应用。</w:t>
            </w:r>
          </w:p>
          <w:p>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ascii="仿宋" w:hAnsi="仿宋" w:eastAsia="仿宋" w:cs="Times New Roman"/>
                <w:kern w:val="0"/>
                <w:sz w:val="32"/>
                <w:szCs w:val="32"/>
              </w:rPr>
            </w:pPr>
            <w:r>
              <w:rPr>
                <w:rFonts w:hint="eastAsia" w:ascii="仿宋" w:hAnsi="仿宋" w:eastAsia="仿宋" w:cs="仿宋"/>
                <w:kern w:val="0"/>
                <w:sz w:val="28"/>
                <w:szCs w:val="28"/>
              </w:rPr>
              <w:t>拟通过本主题，探讨助力农业减排固碳的政策支撑体系、技术支撑体系等，探索农业减排固碳的实现路径。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7" w:hRule="atLeast"/>
        </w:trPr>
        <w:tc>
          <w:tcPr>
            <w:tcW w:w="8296" w:type="dxa"/>
          </w:tcPr>
          <w:p>
            <w:pPr>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rPr>
              <w:t>关注方向：</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1.农业碳汇项目管理</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2.农业废弃物综合利用技术</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3.农业减排固碳模式</w:t>
            </w:r>
            <w:r>
              <w:rPr>
                <w:rFonts w:hint="eastAsia" w:ascii="仿宋" w:hAnsi="仿宋" w:eastAsia="仿宋" w:cs="仿宋"/>
                <w:kern w:val="0"/>
                <w:sz w:val="28"/>
                <w:szCs w:val="28"/>
                <w:lang w:val="en-US" w:eastAsia="zh-CN"/>
              </w:rPr>
              <w:t>和</w:t>
            </w:r>
            <w:r>
              <w:rPr>
                <w:rFonts w:hint="eastAsia" w:ascii="仿宋" w:hAnsi="仿宋" w:eastAsia="仿宋" w:cs="仿宋"/>
                <w:kern w:val="0"/>
                <w:sz w:val="28"/>
                <w:szCs w:val="28"/>
              </w:rPr>
              <w:t>长效机制</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4</w:t>
            </w:r>
            <w:r>
              <w:rPr>
                <w:rFonts w:hint="eastAsia" w:ascii="仿宋" w:hAnsi="仿宋" w:eastAsia="仿宋" w:cs="仿宋"/>
                <w:kern w:val="0"/>
                <w:sz w:val="28"/>
                <w:szCs w:val="28"/>
              </w:rPr>
              <w:t>.农业减排固碳支撑体系</w:t>
            </w: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default"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5.</w:t>
            </w:r>
            <w:r>
              <w:rPr>
                <w:rFonts w:hint="eastAsia" w:ascii="仿宋" w:hAnsi="仿宋" w:eastAsia="仿宋" w:cs="仿宋"/>
                <w:kern w:val="0"/>
                <w:sz w:val="28"/>
                <w:szCs w:val="28"/>
              </w:rPr>
              <w:t>农村可再生能源开发利用技术</w:t>
            </w:r>
          </w:p>
        </w:tc>
      </w:tr>
    </w:tbl>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6" w:lineRule="auto"/>
      <w:ind w:left="4124"/>
      <w:rPr>
        <w:rFonts w:hint="eastAsia" w:ascii="Times New Roman" w:hAnsi="Times New Roman" w:eastAsia="宋体" w:cs="Times New Roman"/>
        <w:sz w:val="18"/>
        <w:szCs w:val="18"/>
        <w:lang w:val="en-US" w:eastAsia="zh-CN"/>
      </w:rPr>
    </w:pPr>
    <w:r>
      <w:rPr>
        <w:rFonts w:ascii="Times New Roman" w:hAnsi="Times New Roman" w:eastAsia="Times New Roman" w:cs="Times New Roman"/>
        <w:sz w:val="18"/>
        <w:szCs w:val="18"/>
      </w:rPr>
      <w:t>4</w:t>
    </w:r>
    <w:r>
      <w:rPr>
        <w:rFonts w:hint="eastAsia" w:ascii="Times New Roman" w:hAnsi="Times New Roman" w:eastAsia="宋体" w:cs="Times New Roman"/>
        <w:sz w:val="18"/>
        <w:szCs w:val="18"/>
        <w:lang w:val="en-US" w:eastAsia="zh-CN"/>
      </w:rPr>
      <w:t>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6" w:lineRule="auto"/>
      <w:ind w:left="4124"/>
      <w:rPr>
        <w:rFonts w:ascii="Times New Roman" w:hAnsi="Times New Roman" w:eastAsia="Times New Roman" w:cs="Times New Roman"/>
        <w:sz w:val="18"/>
        <w:szCs w:val="18"/>
      </w:rPr>
    </w:pPr>
    <w:r>
      <w:rPr>
        <w:rFonts w:ascii="Times New Roman" w:hAnsi="Times New Roman" w:eastAsia="Times New Roman" w:cs="Times New Roman"/>
        <w:sz w:val="18"/>
        <w:szCs w:val="18"/>
      </w:rPr>
      <w:t>4</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yOTkxMzdmMTE1NDYyMTA3OTViMWYxOWMyOTQzMDUifQ=="/>
  </w:docVars>
  <w:rsids>
    <w:rsidRoot w:val="314709E6"/>
    <w:rsid w:val="314709E6"/>
    <w:rsid w:val="69E8694F"/>
    <w:rsid w:val="6B2C0AD0"/>
    <w:rsid w:val="6D3145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styleId="3">
    <w:name w:val="Table Grid"/>
    <w:basedOn w:val="2"/>
    <w:qFormat/>
    <w:uiPriority w:val="0"/>
    <w:rPr>
      <w:rFonts w:ascii="等线" w:hAnsi="等线" w:eastAsia="等线"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
    <w:name w:val="Strong"/>
    <w:basedOn w:val="4"/>
    <w:qFormat/>
    <w:uiPriority w:val="0"/>
    <w:rPr>
      <w:b/>
    </w:rPr>
  </w:style>
  <w:style w:type="table" w:customStyle="1" w:styleId="6">
    <w:name w:val="Table Normal"/>
    <w:autoRedefine/>
    <w:semiHidden/>
    <w:unhideWhenUsed/>
    <w:qFormat/>
    <w:uiPriority w:val="0"/>
    <w:rPr>
      <w:rFonts w:ascii="Arial" w:hAnsi="Arial" w:cs="Arial"/>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17968</Words>
  <Characters>18387</Characters>
  <Lines>0</Lines>
  <Paragraphs>0</Paragraphs>
  <TotalTime>0</TotalTime>
  <ScaleCrop>false</ScaleCrop>
  <LinksUpToDate>false</LinksUpToDate>
  <CharactersWithSpaces>18409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2024-05-14T04:19:00Z</dcterms:created>
  <dc:creator>Ada</dc:creator>
  <cp:lastModifiedBy>Ada</cp:lastModifiedBy>
  <dcterms:modified xsi:type="dcterms:W3CDTF">2024-06-06T11:49:44Z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AE9EAAD31C99420EA3063F68092851FC_11</vt:lpwstr>
  </property>
</Properties>
</file>